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F67A" w14:textId="77777777" w:rsidR="00337685" w:rsidRDefault="004774E9" w:rsidP="00AB35BD">
      <w:r>
        <w:rPr>
          <w:noProof/>
          <w:lang w:eastAsia="en-NZ"/>
        </w:rPr>
        <mc:AlternateContent>
          <mc:Choice Requires="wps">
            <w:drawing>
              <wp:anchor distT="0" distB="0" distL="114300" distR="114300" simplePos="0" relativeHeight="251658241" behindDoc="0" locked="0" layoutInCell="1" allowOverlap="1" wp14:anchorId="4B643647" wp14:editId="5E832718">
                <wp:simplePos x="0" y="0"/>
                <wp:positionH relativeFrom="margin">
                  <wp:posOffset>-43815</wp:posOffset>
                </wp:positionH>
                <wp:positionV relativeFrom="paragraph">
                  <wp:posOffset>2337435</wp:posOffset>
                </wp:positionV>
                <wp:extent cx="6304280" cy="3629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E34917" w:rsidRPr="005E1D2A" w:rsidRDefault="00E34917"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Content>
                              <w:p w14:paraId="0F2CE3F4" w14:textId="6D42F579" w:rsidR="00E34917" w:rsidRPr="005E1D2A" w:rsidRDefault="00E34917" w:rsidP="00D1152E">
                                <w:pPr>
                                  <w:pStyle w:val="ReleaseNotes"/>
                                  <w:rPr>
                                    <w:color w:val="FFFFFF" w:themeColor="background1"/>
                                  </w:rPr>
                                </w:pPr>
                                <w:r>
                                  <w:rPr>
                                    <w:color w:val="FFFFFF" w:themeColor="background1"/>
                                  </w:rPr>
                                  <w:t>Release Notes</w:t>
                                </w:r>
                              </w:p>
                            </w:sdtContent>
                          </w:sdt>
                          <w:p w14:paraId="4831B68C" w14:textId="560CE4AB" w:rsidR="00E34917" w:rsidRDefault="00E34917"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Content>
                                <w:r>
                                  <w:rPr>
                                    <w:rFonts w:ascii="Neutro MYOB Medium" w:hAnsi="Neutro MYOB Medium"/>
                                    <w:color w:val="FFFFFF" w:themeColor="background1"/>
                                  </w:rPr>
                                  <w:t>2018.3.0</w:t>
                                </w:r>
                              </w:sdtContent>
                            </w:sdt>
                          </w:p>
                          <w:p w14:paraId="3634E776" w14:textId="77777777" w:rsidR="00E34917" w:rsidRDefault="00E34917" w:rsidP="00D1152E">
                            <w:pPr>
                              <w:pStyle w:val="ReleaseNotes"/>
                              <w:rPr>
                                <w:rFonts w:ascii="Neutro MYOB Medium" w:hAnsi="Neutro MYOB Medium"/>
                                <w:color w:val="FFFFFF" w:themeColor="background1"/>
                              </w:rPr>
                            </w:pPr>
                          </w:p>
                          <w:p w14:paraId="26A0621A" w14:textId="77777777" w:rsidR="00E34917" w:rsidRDefault="00E34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3.45pt;margin-top:184.05pt;width:496.4pt;height:28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rBewIAAGM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" filled="f" stroked="f" strokeweight=".5pt">
                <v:textbox>
                  <w:txbxContent>
                    <w:p w14:paraId="59DD059B" w14:textId="77777777" w:rsidR="00E34917" w:rsidRPr="005E1D2A" w:rsidRDefault="00E34917"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Content>
                        <w:p w14:paraId="0F2CE3F4" w14:textId="6D42F579" w:rsidR="00E34917" w:rsidRPr="005E1D2A" w:rsidRDefault="00E34917" w:rsidP="00D1152E">
                          <w:pPr>
                            <w:pStyle w:val="ReleaseNotes"/>
                            <w:rPr>
                              <w:color w:val="FFFFFF" w:themeColor="background1"/>
                            </w:rPr>
                          </w:pPr>
                          <w:r>
                            <w:rPr>
                              <w:color w:val="FFFFFF" w:themeColor="background1"/>
                            </w:rPr>
                            <w:t>Release Notes</w:t>
                          </w:r>
                        </w:p>
                      </w:sdtContent>
                    </w:sdt>
                    <w:p w14:paraId="4831B68C" w14:textId="560CE4AB" w:rsidR="00E34917" w:rsidRDefault="00E34917"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Content>
                          <w:r>
                            <w:rPr>
                              <w:rFonts w:ascii="Neutro MYOB Medium" w:hAnsi="Neutro MYOB Medium"/>
                              <w:color w:val="FFFFFF" w:themeColor="background1"/>
                            </w:rPr>
                            <w:t>2018.3.0</w:t>
                          </w:r>
                        </w:sdtContent>
                      </w:sdt>
                    </w:p>
                    <w:p w14:paraId="3634E776" w14:textId="77777777" w:rsidR="00E34917" w:rsidRDefault="00E34917" w:rsidP="00D1152E">
                      <w:pPr>
                        <w:pStyle w:val="ReleaseNotes"/>
                        <w:rPr>
                          <w:rFonts w:ascii="Neutro MYOB Medium" w:hAnsi="Neutro MYOB Medium"/>
                          <w:color w:val="FFFFFF" w:themeColor="background1"/>
                        </w:rPr>
                      </w:pPr>
                    </w:p>
                    <w:p w14:paraId="26A0621A" w14:textId="77777777" w:rsidR="00E34917" w:rsidRDefault="00E34917"/>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bookmarkStart w:id="0" w:name="_GoBack"/>
    <w:bookmarkEnd w:id="0"/>
    <w:p w14:paraId="3AFF771F" w14:textId="6B8A514B" w:rsidR="00BE7B4C"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46232602" w:history="1">
        <w:r w:rsidR="00BE7B4C" w:rsidRPr="0096575A">
          <w:rPr>
            <w:rStyle w:val="Hyperlink"/>
          </w:rPr>
          <w:t>Introduction</w:t>
        </w:r>
        <w:r w:rsidR="00BE7B4C">
          <w:rPr>
            <w:webHidden/>
          </w:rPr>
          <w:tab/>
        </w:r>
        <w:r w:rsidR="00BE7B4C">
          <w:rPr>
            <w:webHidden/>
          </w:rPr>
          <w:fldChar w:fldCharType="begin"/>
        </w:r>
        <w:r w:rsidR="00BE7B4C">
          <w:rPr>
            <w:webHidden/>
          </w:rPr>
          <w:instrText xml:space="preserve"> PAGEREF _Toc46232602 \h </w:instrText>
        </w:r>
        <w:r w:rsidR="00BE7B4C">
          <w:rPr>
            <w:webHidden/>
          </w:rPr>
        </w:r>
        <w:r w:rsidR="00BE7B4C">
          <w:rPr>
            <w:webHidden/>
          </w:rPr>
          <w:fldChar w:fldCharType="separate"/>
        </w:r>
        <w:r w:rsidR="00BE7B4C">
          <w:rPr>
            <w:webHidden/>
          </w:rPr>
          <w:t>1</w:t>
        </w:r>
        <w:r w:rsidR="00BE7B4C">
          <w:rPr>
            <w:webHidden/>
          </w:rPr>
          <w:fldChar w:fldCharType="end"/>
        </w:r>
      </w:hyperlink>
    </w:p>
    <w:p w14:paraId="7589C377" w14:textId="07E1D2DC" w:rsidR="00BE7B4C" w:rsidRDefault="00BE7B4C">
      <w:pPr>
        <w:pStyle w:val="TOC1"/>
        <w:rPr>
          <w:rFonts w:asciiTheme="minorHAnsi" w:eastAsiaTheme="minorEastAsia" w:hAnsiTheme="minorHAnsi" w:cstheme="minorBidi"/>
          <w:color w:val="auto"/>
          <w:sz w:val="22"/>
          <w:szCs w:val="22"/>
          <w:lang w:eastAsia="en-AU"/>
        </w:rPr>
      </w:pPr>
      <w:hyperlink w:anchor="_Toc46232603" w:history="1">
        <w:r w:rsidRPr="0096575A">
          <w:rPr>
            <w:rStyle w:val="Hyperlink"/>
          </w:rPr>
          <w:t>Enhancements - Greentree Desktop</w:t>
        </w:r>
        <w:r>
          <w:rPr>
            <w:webHidden/>
          </w:rPr>
          <w:tab/>
        </w:r>
        <w:r>
          <w:rPr>
            <w:webHidden/>
          </w:rPr>
          <w:fldChar w:fldCharType="begin"/>
        </w:r>
        <w:r>
          <w:rPr>
            <w:webHidden/>
          </w:rPr>
          <w:instrText xml:space="preserve"> PAGEREF _Toc46232603 \h </w:instrText>
        </w:r>
        <w:r>
          <w:rPr>
            <w:webHidden/>
          </w:rPr>
        </w:r>
        <w:r>
          <w:rPr>
            <w:webHidden/>
          </w:rPr>
          <w:fldChar w:fldCharType="separate"/>
        </w:r>
        <w:r>
          <w:rPr>
            <w:webHidden/>
          </w:rPr>
          <w:t>2</w:t>
        </w:r>
        <w:r>
          <w:rPr>
            <w:webHidden/>
          </w:rPr>
          <w:fldChar w:fldCharType="end"/>
        </w:r>
      </w:hyperlink>
    </w:p>
    <w:p w14:paraId="411C98F4" w14:textId="4FCC25FB" w:rsidR="00BE7B4C" w:rsidRDefault="00BE7B4C">
      <w:pPr>
        <w:pStyle w:val="TOC2"/>
        <w:rPr>
          <w:rFonts w:asciiTheme="minorHAnsi" w:eastAsiaTheme="minorEastAsia" w:hAnsiTheme="minorHAnsi" w:cstheme="minorBidi"/>
          <w:color w:val="auto"/>
          <w:sz w:val="22"/>
          <w:szCs w:val="22"/>
          <w:lang w:eastAsia="en-AU"/>
        </w:rPr>
      </w:pPr>
      <w:hyperlink w:anchor="_Toc46232604" w:history="1">
        <w:r w:rsidRPr="0096575A">
          <w:rPr>
            <w:rStyle w:val="Hyperlink"/>
          </w:rPr>
          <w:t>Qlik Sense Integration</w:t>
        </w:r>
        <w:r>
          <w:rPr>
            <w:webHidden/>
          </w:rPr>
          <w:tab/>
        </w:r>
        <w:r>
          <w:rPr>
            <w:webHidden/>
          </w:rPr>
          <w:fldChar w:fldCharType="begin"/>
        </w:r>
        <w:r>
          <w:rPr>
            <w:webHidden/>
          </w:rPr>
          <w:instrText xml:space="preserve"> PAGEREF _Toc46232604 \h </w:instrText>
        </w:r>
        <w:r>
          <w:rPr>
            <w:webHidden/>
          </w:rPr>
        </w:r>
        <w:r>
          <w:rPr>
            <w:webHidden/>
          </w:rPr>
          <w:fldChar w:fldCharType="separate"/>
        </w:r>
        <w:r>
          <w:rPr>
            <w:webHidden/>
          </w:rPr>
          <w:t>2</w:t>
        </w:r>
        <w:r>
          <w:rPr>
            <w:webHidden/>
          </w:rPr>
          <w:fldChar w:fldCharType="end"/>
        </w:r>
      </w:hyperlink>
    </w:p>
    <w:p w14:paraId="012491B3" w14:textId="7F88C0E9" w:rsidR="00BE7B4C" w:rsidRDefault="00BE7B4C">
      <w:pPr>
        <w:pStyle w:val="TOC3"/>
        <w:rPr>
          <w:rFonts w:asciiTheme="minorHAnsi" w:eastAsiaTheme="minorEastAsia" w:hAnsiTheme="minorHAnsi" w:cstheme="minorBidi"/>
          <w:noProof/>
          <w:sz w:val="22"/>
          <w:szCs w:val="22"/>
        </w:rPr>
      </w:pPr>
      <w:hyperlink w:anchor="_Toc46232605" w:history="1">
        <w:r w:rsidRPr="0096575A">
          <w:rPr>
            <w:rStyle w:val="Hyperlink"/>
            <w:noProof/>
          </w:rPr>
          <w:t>Initial Setup</w:t>
        </w:r>
        <w:r>
          <w:rPr>
            <w:noProof/>
            <w:webHidden/>
          </w:rPr>
          <w:tab/>
        </w:r>
        <w:r>
          <w:rPr>
            <w:noProof/>
            <w:webHidden/>
          </w:rPr>
          <w:fldChar w:fldCharType="begin"/>
        </w:r>
        <w:r>
          <w:rPr>
            <w:noProof/>
            <w:webHidden/>
          </w:rPr>
          <w:instrText xml:space="preserve"> PAGEREF _Toc46232605 \h </w:instrText>
        </w:r>
        <w:r>
          <w:rPr>
            <w:noProof/>
            <w:webHidden/>
          </w:rPr>
        </w:r>
        <w:r>
          <w:rPr>
            <w:noProof/>
            <w:webHidden/>
          </w:rPr>
          <w:fldChar w:fldCharType="separate"/>
        </w:r>
        <w:r>
          <w:rPr>
            <w:noProof/>
            <w:webHidden/>
          </w:rPr>
          <w:t>2</w:t>
        </w:r>
        <w:r>
          <w:rPr>
            <w:noProof/>
            <w:webHidden/>
          </w:rPr>
          <w:fldChar w:fldCharType="end"/>
        </w:r>
      </w:hyperlink>
    </w:p>
    <w:p w14:paraId="72F63752" w14:textId="617847AA" w:rsidR="00BE7B4C" w:rsidRDefault="00BE7B4C">
      <w:pPr>
        <w:pStyle w:val="TOC3"/>
        <w:rPr>
          <w:rFonts w:asciiTheme="minorHAnsi" w:eastAsiaTheme="minorEastAsia" w:hAnsiTheme="minorHAnsi" w:cstheme="minorBidi"/>
          <w:noProof/>
          <w:sz w:val="22"/>
          <w:szCs w:val="22"/>
        </w:rPr>
      </w:pPr>
      <w:hyperlink w:anchor="_Toc46232606" w:history="1">
        <w:r w:rsidRPr="0096575A">
          <w:rPr>
            <w:rStyle w:val="Hyperlink"/>
            <w:noProof/>
          </w:rPr>
          <w:t>Creating a Workflow Desk</w:t>
        </w:r>
        <w:r>
          <w:rPr>
            <w:noProof/>
            <w:webHidden/>
          </w:rPr>
          <w:tab/>
        </w:r>
        <w:r>
          <w:rPr>
            <w:noProof/>
            <w:webHidden/>
          </w:rPr>
          <w:fldChar w:fldCharType="begin"/>
        </w:r>
        <w:r>
          <w:rPr>
            <w:noProof/>
            <w:webHidden/>
          </w:rPr>
          <w:instrText xml:space="preserve"> PAGEREF _Toc46232606 \h </w:instrText>
        </w:r>
        <w:r>
          <w:rPr>
            <w:noProof/>
            <w:webHidden/>
          </w:rPr>
        </w:r>
        <w:r>
          <w:rPr>
            <w:noProof/>
            <w:webHidden/>
          </w:rPr>
          <w:fldChar w:fldCharType="separate"/>
        </w:r>
        <w:r>
          <w:rPr>
            <w:noProof/>
            <w:webHidden/>
          </w:rPr>
          <w:t>3</w:t>
        </w:r>
        <w:r>
          <w:rPr>
            <w:noProof/>
            <w:webHidden/>
          </w:rPr>
          <w:fldChar w:fldCharType="end"/>
        </w:r>
      </w:hyperlink>
    </w:p>
    <w:p w14:paraId="6AB546F0" w14:textId="00B3DADD" w:rsidR="00BE7B4C" w:rsidRDefault="00BE7B4C">
      <w:pPr>
        <w:pStyle w:val="TOC2"/>
        <w:rPr>
          <w:rFonts w:asciiTheme="minorHAnsi" w:eastAsiaTheme="minorEastAsia" w:hAnsiTheme="minorHAnsi" w:cstheme="minorBidi"/>
          <w:color w:val="auto"/>
          <w:sz w:val="22"/>
          <w:szCs w:val="22"/>
          <w:lang w:eastAsia="en-AU"/>
        </w:rPr>
      </w:pPr>
      <w:hyperlink w:anchor="_Toc46232607" w:history="1">
        <w:r w:rsidRPr="0096575A">
          <w:rPr>
            <w:rStyle w:val="Hyperlink"/>
          </w:rPr>
          <w:t>Changes to Team Security Attributes</w:t>
        </w:r>
        <w:r>
          <w:rPr>
            <w:webHidden/>
          </w:rPr>
          <w:tab/>
        </w:r>
        <w:r>
          <w:rPr>
            <w:webHidden/>
          </w:rPr>
          <w:fldChar w:fldCharType="begin"/>
        </w:r>
        <w:r>
          <w:rPr>
            <w:webHidden/>
          </w:rPr>
          <w:instrText xml:space="preserve"> PAGEREF _Toc46232607 \h </w:instrText>
        </w:r>
        <w:r>
          <w:rPr>
            <w:webHidden/>
          </w:rPr>
        </w:r>
        <w:r>
          <w:rPr>
            <w:webHidden/>
          </w:rPr>
          <w:fldChar w:fldCharType="separate"/>
        </w:r>
        <w:r>
          <w:rPr>
            <w:webHidden/>
          </w:rPr>
          <w:t>5</w:t>
        </w:r>
        <w:r>
          <w:rPr>
            <w:webHidden/>
          </w:rPr>
          <w:fldChar w:fldCharType="end"/>
        </w:r>
      </w:hyperlink>
    </w:p>
    <w:p w14:paraId="476F5E32" w14:textId="693B96EF" w:rsidR="00BE7B4C" w:rsidRDefault="00BE7B4C">
      <w:pPr>
        <w:pStyle w:val="TOC3"/>
        <w:rPr>
          <w:rFonts w:asciiTheme="minorHAnsi" w:eastAsiaTheme="minorEastAsia" w:hAnsiTheme="minorHAnsi" w:cstheme="minorBidi"/>
          <w:noProof/>
          <w:sz w:val="22"/>
          <w:szCs w:val="22"/>
        </w:rPr>
      </w:pPr>
      <w:hyperlink w:anchor="_Toc46232608" w:history="1">
        <w:r w:rsidRPr="0096575A">
          <w:rPr>
            <w:rStyle w:val="Hyperlink"/>
            <w:noProof/>
          </w:rPr>
          <w:t>Adding or Removing Access to a Module or Function</w:t>
        </w:r>
        <w:r>
          <w:rPr>
            <w:noProof/>
            <w:webHidden/>
          </w:rPr>
          <w:tab/>
        </w:r>
        <w:r>
          <w:rPr>
            <w:noProof/>
            <w:webHidden/>
          </w:rPr>
          <w:fldChar w:fldCharType="begin"/>
        </w:r>
        <w:r>
          <w:rPr>
            <w:noProof/>
            <w:webHidden/>
          </w:rPr>
          <w:instrText xml:space="preserve"> PAGEREF _Toc46232608 \h </w:instrText>
        </w:r>
        <w:r>
          <w:rPr>
            <w:noProof/>
            <w:webHidden/>
          </w:rPr>
        </w:r>
        <w:r>
          <w:rPr>
            <w:noProof/>
            <w:webHidden/>
          </w:rPr>
          <w:fldChar w:fldCharType="separate"/>
        </w:r>
        <w:r>
          <w:rPr>
            <w:noProof/>
            <w:webHidden/>
          </w:rPr>
          <w:t>5</w:t>
        </w:r>
        <w:r>
          <w:rPr>
            <w:noProof/>
            <w:webHidden/>
          </w:rPr>
          <w:fldChar w:fldCharType="end"/>
        </w:r>
      </w:hyperlink>
    </w:p>
    <w:p w14:paraId="167D8B6B" w14:textId="00CAD846" w:rsidR="00BE7B4C" w:rsidRDefault="00BE7B4C">
      <w:pPr>
        <w:pStyle w:val="TOC2"/>
        <w:rPr>
          <w:rFonts w:asciiTheme="minorHAnsi" w:eastAsiaTheme="minorEastAsia" w:hAnsiTheme="minorHAnsi" w:cstheme="minorBidi"/>
          <w:color w:val="auto"/>
          <w:sz w:val="22"/>
          <w:szCs w:val="22"/>
          <w:lang w:eastAsia="en-AU"/>
        </w:rPr>
      </w:pPr>
      <w:hyperlink w:anchor="_Toc46232609" w:history="1">
        <w:r w:rsidRPr="0096575A">
          <w:rPr>
            <w:rStyle w:val="Hyperlink"/>
          </w:rPr>
          <w:t>Performance Improvements</w:t>
        </w:r>
        <w:r>
          <w:rPr>
            <w:webHidden/>
          </w:rPr>
          <w:tab/>
        </w:r>
        <w:r>
          <w:rPr>
            <w:webHidden/>
          </w:rPr>
          <w:fldChar w:fldCharType="begin"/>
        </w:r>
        <w:r>
          <w:rPr>
            <w:webHidden/>
          </w:rPr>
          <w:instrText xml:space="preserve"> PAGEREF _Toc46232609 \h </w:instrText>
        </w:r>
        <w:r>
          <w:rPr>
            <w:webHidden/>
          </w:rPr>
        </w:r>
        <w:r>
          <w:rPr>
            <w:webHidden/>
          </w:rPr>
          <w:fldChar w:fldCharType="separate"/>
        </w:r>
        <w:r>
          <w:rPr>
            <w:webHidden/>
          </w:rPr>
          <w:t>6</w:t>
        </w:r>
        <w:r>
          <w:rPr>
            <w:webHidden/>
          </w:rPr>
          <w:fldChar w:fldCharType="end"/>
        </w:r>
      </w:hyperlink>
    </w:p>
    <w:p w14:paraId="695A46E2" w14:textId="0C253F9A" w:rsidR="00BE7B4C" w:rsidRDefault="00BE7B4C">
      <w:pPr>
        <w:pStyle w:val="TOC3"/>
        <w:rPr>
          <w:rFonts w:asciiTheme="minorHAnsi" w:eastAsiaTheme="minorEastAsia" w:hAnsiTheme="minorHAnsi" w:cstheme="minorBidi"/>
          <w:noProof/>
          <w:sz w:val="22"/>
          <w:szCs w:val="22"/>
        </w:rPr>
      </w:pPr>
      <w:hyperlink w:anchor="_Toc46232610" w:history="1">
        <w:r w:rsidRPr="0096575A">
          <w:rPr>
            <w:rStyle w:val="Hyperlink"/>
            <w:noProof/>
          </w:rPr>
          <w:t>Progress Bars</w:t>
        </w:r>
        <w:r>
          <w:rPr>
            <w:noProof/>
            <w:webHidden/>
          </w:rPr>
          <w:tab/>
        </w:r>
        <w:r>
          <w:rPr>
            <w:noProof/>
            <w:webHidden/>
          </w:rPr>
          <w:fldChar w:fldCharType="begin"/>
        </w:r>
        <w:r>
          <w:rPr>
            <w:noProof/>
            <w:webHidden/>
          </w:rPr>
          <w:instrText xml:space="preserve"> PAGEREF _Toc46232610 \h </w:instrText>
        </w:r>
        <w:r>
          <w:rPr>
            <w:noProof/>
            <w:webHidden/>
          </w:rPr>
        </w:r>
        <w:r>
          <w:rPr>
            <w:noProof/>
            <w:webHidden/>
          </w:rPr>
          <w:fldChar w:fldCharType="separate"/>
        </w:r>
        <w:r>
          <w:rPr>
            <w:noProof/>
            <w:webHidden/>
          </w:rPr>
          <w:t>6</w:t>
        </w:r>
        <w:r>
          <w:rPr>
            <w:noProof/>
            <w:webHidden/>
          </w:rPr>
          <w:fldChar w:fldCharType="end"/>
        </w:r>
      </w:hyperlink>
    </w:p>
    <w:p w14:paraId="475E4316" w14:textId="4A3362C0" w:rsidR="00BE7B4C" w:rsidRDefault="00BE7B4C">
      <w:pPr>
        <w:pStyle w:val="TOC3"/>
        <w:rPr>
          <w:rFonts w:asciiTheme="minorHAnsi" w:eastAsiaTheme="minorEastAsia" w:hAnsiTheme="minorHAnsi" w:cstheme="minorBidi"/>
          <w:noProof/>
          <w:sz w:val="22"/>
          <w:szCs w:val="22"/>
        </w:rPr>
      </w:pPr>
      <w:hyperlink w:anchor="_Toc46232611" w:history="1">
        <w:r w:rsidRPr="0096575A">
          <w:rPr>
            <w:rStyle w:val="Hyperlink"/>
            <w:noProof/>
          </w:rPr>
          <w:t>Service Planner</w:t>
        </w:r>
        <w:r>
          <w:rPr>
            <w:noProof/>
            <w:webHidden/>
          </w:rPr>
          <w:tab/>
        </w:r>
        <w:r>
          <w:rPr>
            <w:noProof/>
            <w:webHidden/>
          </w:rPr>
          <w:fldChar w:fldCharType="begin"/>
        </w:r>
        <w:r>
          <w:rPr>
            <w:noProof/>
            <w:webHidden/>
          </w:rPr>
          <w:instrText xml:space="preserve"> PAGEREF _Toc46232611 \h </w:instrText>
        </w:r>
        <w:r>
          <w:rPr>
            <w:noProof/>
            <w:webHidden/>
          </w:rPr>
        </w:r>
        <w:r>
          <w:rPr>
            <w:noProof/>
            <w:webHidden/>
          </w:rPr>
          <w:fldChar w:fldCharType="separate"/>
        </w:r>
        <w:r>
          <w:rPr>
            <w:noProof/>
            <w:webHidden/>
          </w:rPr>
          <w:t>6</w:t>
        </w:r>
        <w:r>
          <w:rPr>
            <w:noProof/>
            <w:webHidden/>
          </w:rPr>
          <w:fldChar w:fldCharType="end"/>
        </w:r>
      </w:hyperlink>
    </w:p>
    <w:p w14:paraId="06408DEB" w14:textId="04D8D8B2" w:rsidR="00BE7B4C" w:rsidRDefault="00BE7B4C">
      <w:pPr>
        <w:pStyle w:val="TOC2"/>
        <w:rPr>
          <w:rFonts w:asciiTheme="minorHAnsi" w:eastAsiaTheme="minorEastAsia" w:hAnsiTheme="minorHAnsi" w:cstheme="minorBidi"/>
          <w:color w:val="auto"/>
          <w:sz w:val="22"/>
          <w:szCs w:val="22"/>
          <w:lang w:eastAsia="en-AU"/>
        </w:rPr>
      </w:pPr>
      <w:hyperlink w:anchor="_Toc46232612" w:history="1">
        <w:r w:rsidRPr="0096575A">
          <w:rPr>
            <w:rStyle w:val="Hyperlink"/>
          </w:rPr>
          <w:t>Changes to Interface Maintenance Form</w:t>
        </w:r>
        <w:r>
          <w:rPr>
            <w:webHidden/>
          </w:rPr>
          <w:tab/>
        </w:r>
        <w:r>
          <w:rPr>
            <w:webHidden/>
          </w:rPr>
          <w:fldChar w:fldCharType="begin"/>
        </w:r>
        <w:r>
          <w:rPr>
            <w:webHidden/>
          </w:rPr>
          <w:instrText xml:space="preserve"> PAGEREF _Toc46232612 \h </w:instrText>
        </w:r>
        <w:r>
          <w:rPr>
            <w:webHidden/>
          </w:rPr>
        </w:r>
        <w:r>
          <w:rPr>
            <w:webHidden/>
          </w:rPr>
          <w:fldChar w:fldCharType="separate"/>
        </w:r>
        <w:r>
          <w:rPr>
            <w:webHidden/>
          </w:rPr>
          <w:t>7</w:t>
        </w:r>
        <w:r>
          <w:rPr>
            <w:webHidden/>
          </w:rPr>
          <w:fldChar w:fldCharType="end"/>
        </w:r>
      </w:hyperlink>
    </w:p>
    <w:p w14:paraId="75912B90" w14:textId="2B32272F" w:rsidR="00BE7B4C" w:rsidRDefault="00BE7B4C">
      <w:pPr>
        <w:pStyle w:val="TOC2"/>
        <w:rPr>
          <w:rFonts w:asciiTheme="minorHAnsi" w:eastAsiaTheme="minorEastAsia" w:hAnsiTheme="minorHAnsi" w:cstheme="minorBidi"/>
          <w:color w:val="auto"/>
          <w:sz w:val="22"/>
          <w:szCs w:val="22"/>
          <w:lang w:eastAsia="en-AU"/>
        </w:rPr>
      </w:pPr>
      <w:hyperlink w:anchor="_Toc46232613" w:history="1">
        <w:r w:rsidRPr="0096575A">
          <w:rPr>
            <w:rStyle w:val="Hyperlink"/>
            <w:i/>
            <w:iCs/>
          </w:rPr>
          <w:t>Statement provided</w:t>
        </w:r>
        <w:r w:rsidRPr="0096575A">
          <w:rPr>
            <w:rStyle w:val="Hyperlink"/>
          </w:rPr>
          <w:t xml:space="preserve"> Option Available for Contractors</w:t>
        </w:r>
        <w:r>
          <w:rPr>
            <w:webHidden/>
          </w:rPr>
          <w:tab/>
        </w:r>
        <w:r>
          <w:rPr>
            <w:webHidden/>
          </w:rPr>
          <w:fldChar w:fldCharType="begin"/>
        </w:r>
        <w:r>
          <w:rPr>
            <w:webHidden/>
          </w:rPr>
          <w:instrText xml:space="preserve"> PAGEREF _Toc46232613 \h </w:instrText>
        </w:r>
        <w:r>
          <w:rPr>
            <w:webHidden/>
          </w:rPr>
        </w:r>
        <w:r>
          <w:rPr>
            <w:webHidden/>
          </w:rPr>
          <w:fldChar w:fldCharType="separate"/>
        </w:r>
        <w:r>
          <w:rPr>
            <w:webHidden/>
          </w:rPr>
          <w:t>8</w:t>
        </w:r>
        <w:r>
          <w:rPr>
            <w:webHidden/>
          </w:rPr>
          <w:fldChar w:fldCharType="end"/>
        </w:r>
      </w:hyperlink>
    </w:p>
    <w:p w14:paraId="5D41202F" w14:textId="2D84B016" w:rsidR="00BE7B4C" w:rsidRDefault="00BE7B4C">
      <w:pPr>
        <w:pStyle w:val="TOC2"/>
        <w:rPr>
          <w:rFonts w:asciiTheme="minorHAnsi" w:eastAsiaTheme="minorEastAsia" w:hAnsiTheme="minorHAnsi" w:cstheme="minorBidi"/>
          <w:color w:val="auto"/>
          <w:sz w:val="22"/>
          <w:szCs w:val="22"/>
          <w:lang w:eastAsia="en-AU"/>
        </w:rPr>
      </w:pPr>
      <w:hyperlink w:anchor="_Toc46232614" w:history="1">
        <w:r w:rsidRPr="0096575A">
          <w:rPr>
            <w:rStyle w:val="Hyperlink"/>
          </w:rPr>
          <w:t>Enhanced Backup Options on Task Scheduler Form</w:t>
        </w:r>
        <w:r>
          <w:rPr>
            <w:webHidden/>
          </w:rPr>
          <w:tab/>
        </w:r>
        <w:r>
          <w:rPr>
            <w:webHidden/>
          </w:rPr>
          <w:fldChar w:fldCharType="begin"/>
        </w:r>
        <w:r>
          <w:rPr>
            <w:webHidden/>
          </w:rPr>
          <w:instrText xml:space="preserve"> PAGEREF _Toc46232614 \h </w:instrText>
        </w:r>
        <w:r>
          <w:rPr>
            <w:webHidden/>
          </w:rPr>
        </w:r>
        <w:r>
          <w:rPr>
            <w:webHidden/>
          </w:rPr>
          <w:fldChar w:fldCharType="separate"/>
        </w:r>
        <w:r>
          <w:rPr>
            <w:webHidden/>
          </w:rPr>
          <w:t>8</w:t>
        </w:r>
        <w:r>
          <w:rPr>
            <w:webHidden/>
          </w:rPr>
          <w:fldChar w:fldCharType="end"/>
        </w:r>
      </w:hyperlink>
    </w:p>
    <w:p w14:paraId="267C8211" w14:textId="5B68FBFD" w:rsidR="00BE7B4C" w:rsidRDefault="00BE7B4C">
      <w:pPr>
        <w:pStyle w:val="TOC2"/>
        <w:rPr>
          <w:rFonts w:asciiTheme="minorHAnsi" w:eastAsiaTheme="minorEastAsia" w:hAnsiTheme="minorHAnsi" w:cstheme="minorBidi"/>
          <w:color w:val="auto"/>
          <w:sz w:val="22"/>
          <w:szCs w:val="22"/>
          <w:lang w:eastAsia="en-AU"/>
        </w:rPr>
      </w:pPr>
      <w:hyperlink w:anchor="_Toc46232615" w:history="1">
        <w:r w:rsidRPr="0096575A">
          <w:rPr>
            <w:rStyle w:val="Hyperlink"/>
          </w:rPr>
          <w:t>User Interface Improvements</w:t>
        </w:r>
        <w:r>
          <w:rPr>
            <w:webHidden/>
          </w:rPr>
          <w:tab/>
        </w:r>
        <w:r>
          <w:rPr>
            <w:webHidden/>
          </w:rPr>
          <w:fldChar w:fldCharType="begin"/>
        </w:r>
        <w:r>
          <w:rPr>
            <w:webHidden/>
          </w:rPr>
          <w:instrText xml:space="preserve"> PAGEREF _Toc46232615 \h </w:instrText>
        </w:r>
        <w:r>
          <w:rPr>
            <w:webHidden/>
          </w:rPr>
        </w:r>
        <w:r>
          <w:rPr>
            <w:webHidden/>
          </w:rPr>
          <w:fldChar w:fldCharType="separate"/>
        </w:r>
        <w:r>
          <w:rPr>
            <w:webHidden/>
          </w:rPr>
          <w:t>9</w:t>
        </w:r>
        <w:r>
          <w:rPr>
            <w:webHidden/>
          </w:rPr>
          <w:fldChar w:fldCharType="end"/>
        </w:r>
      </w:hyperlink>
    </w:p>
    <w:p w14:paraId="11969B99" w14:textId="438A0F73" w:rsidR="00BE7B4C" w:rsidRDefault="00BE7B4C">
      <w:pPr>
        <w:pStyle w:val="TOC1"/>
        <w:rPr>
          <w:rFonts w:asciiTheme="minorHAnsi" w:eastAsiaTheme="minorEastAsia" w:hAnsiTheme="minorHAnsi" w:cstheme="minorBidi"/>
          <w:color w:val="auto"/>
          <w:sz w:val="22"/>
          <w:szCs w:val="22"/>
          <w:lang w:eastAsia="en-AU"/>
        </w:rPr>
      </w:pPr>
      <w:hyperlink w:anchor="_Toc46232616" w:history="1">
        <w:r w:rsidRPr="0096575A">
          <w:rPr>
            <w:rStyle w:val="Hyperlink"/>
          </w:rPr>
          <w:t>Enhancements - Greentree Browser</w:t>
        </w:r>
        <w:r>
          <w:rPr>
            <w:webHidden/>
          </w:rPr>
          <w:tab/>
        </w:r>
        <w:r>
          <w:rPr>
            <w:webHidden/>
          </w:rPr>
          <w:fldChar w:fldCharType="begin"/>
        </w:r>
        <w:r>
          <w:rPr>
            <w:webHidden/>
          </w:rPr>
          <w:instrText xml:space="preserve"> PAGEREF _Toc46232616 \h </w:instrText>
        </w:r>
        <w:r>
          <w:rPr>
            <w:webHidden/>
          </w:rPr>
        </w:r>
        <w:r>
          <w:rPr>
            <w:webHidden/>
          </w:rPr>
          <w:fldChar w:fldCharType="separate"/>
        </w:r>
        <w:r>
          <w:rPr>
            <w:webHidden/>
          </w:rPr>
          <w:t>11</w:t>
        </w:r>
        <w:r>
          <w:rPr>
            <w:webHidden/>
          </w:rPr>
          <w:fldChar w:fldCharType="end"/>
        </w:r>
      </w:hyperlink>
    </w:p>
    <w:p w14:paraId="59DBF2C1" w14:textId="71403953" w:rsidR="00BE7B4C" w:rsidRDefault="00BE7B4C">
      <w:pPr>
        <w:pStyle w:val="TOC3"/>
        <w:rPr>
          <w:rFonts w:asciiTheme="minorHAnsi" w:eastAsiaTheme="minorEastAsia" w:hAnsiTheme="minorHAnsi" w:cstheme="minorBidi"/>
          <w:noProof/>
          <w:sz w:val="22"/>
          <w:szCs w:val="22"/>
        </w:rPr>
      </w:pPr>
      <w:hyperlink w:anchor="_Toc46232617" w:history="1">
        <w:r w:rsidRPr="0096575A">
          <w:rPr>
            <w:rStyle w:val="Hyperlink"/>
            <w:noProof/>
          </w:rPr>
          <w:t>New Columns Added to the Browser Timesheet Review Form</w:t>
        </w:r>
        <w:r>
          <w:rPr>
            <w:noProof/>
            <w:webHidden/>
          </w:rPr>
          <w:tab/>
        </w:r>
        <w:r>
          <w:rPr>
            <w:noProof/>
            <w:webHidden/>
          </w:rPr>
          <w:fldChar w:fldCharType="begin"/>
        </w:r>
        <w:r>
          <w:rPr>
            <w:noProof/>
            <w:webHidden/>
          </w:rPr>
          <w:instrText xml:space="preserve"> PAGEREF _Toc46232617 \h </w:instrText>
        </w:r>
        <w:r>
          <w:rPr>
            <w:noProof/>
            <w:webHidden/>
          </w:rPr>
        </w:r>
        <w:r>
          <w:rPr>
            <w:noProof/>
            <w:webHidden/>
          </w:rPr>
          <w:fldChar w:fldCharType="separate"/>
        </w:r>
        <w:r>
          <w:rPr>
            <w:noProof/>
            <w:webHidden/>
          </w:rPr>
          <w:t>11</w:t>
        </w:r>
        <w:r>
          <w:rPr>
            <w:noProof/>
            <w:webHidden/>
          </w:rPr>
          <w:fldChar w:fldCharType="end"/>
        </w:r>
      </w:hyperlink>
    </w:p>
    <w:p w14:paraId="65FCBC77" w14:textId="164C79F7" w:rsidR="00BE7B4C" w:rsidRDefault="00BE7B4C">
      <w:pPr>
        <w:pStyle w:val="TOC1"/>
        <w:rPr>
          <w:rFonts w:asciiTheme="minorHAnsi" w:eastAsiaTheme="minorEastAsia" w:hAnsiTheme="minorHAnsi" w:cstheme="minorBidi"/>
          <w:color w:val="auto"/>
          <w:sz w:val="22"/>
          <w:szCs w:val="22"/>
          <w:lang w:eastAsia="en-AU"/>
        </w:rPr>
      </w:pPr>
      <w:hyperlink w:anchor="_Toc46232618" w:history="1">
        <w:r w:rsidRPr="0096575A">
          <w:rPr>
            <w:rStyle w:val="Hyperlink"/>
          </w:rPr>
          <w:t>Bug Fixes - Greentree Desktop</w:t>
        </w:r>
        <w:r>
          <w:rPr>
            <w:webHidden/>
          </w:rPr>
          <w:tab/>
        </w:r>
        <w:r>
          <w:rPr>
            <w:webHidden/>
          </w:rPr>
          <w:fldChar w:fldCharType="begin"/>
        </w:r>
        <w:r>
          <w:rPr>
            <w:webHidden/>
          </w:rPr>
          <w:instrText xml:space="preserve"> PAGEREF _Toc46232618 \h </w:instrText>
        </w:r>
        <w:r>
          <w:rPr>
            <w:webHidden/>
          </w:rPr>
        </w:r>
        <w:r>
          <w:rPr>
            <w:webHidden/>
          </w:rPr>
          <w:fldChar w:fldCharType="separate"/>
        </w:r>
        <w:r>
          <w:rPr>
            <w:webHidden/>
          </w:rPr>
          <w:t>12</w:t>
        </w:r>
        <w:r>
          <w:rPr>
            <w:webHidden/>
          </w:rPr>
          <w:fldChar w:fldCharType="end"/>
        </w:r>
      </w:hyperlink>
    </w:p>
    <w:p w14:paraId="2BD6FFB7" w14:textId="1899D5E3" w:rsidR="00BE7B4C" w:rsidRDefault="00BE7B4C">
      <w:pPr>
        <w:pStyle w:val="TOC3"/>
        <w:rPr>
          <w:rFonts w:asciiTheme="minorHAnsi" w:eastAsiaTheme="minorEastAsia" w:hAnsiTheme="minorHAnsi" w:cstheme="minorBidi"/>
          <w:noProof/>
          <w:sz w:val="22"/>
          <w:szCs w:val="22"/>
        </w:rPr>
      </w:pPr>
      <w:hyperlink w:anchor="_Toc46232619" w:history="1">
        <w:r w:rsidRPr="0096575A">
          <w:rPr>
            <w:rStyle w:val="Hyperlink"/>
            <w:noProof/>
          </w:rPr>
          <w:t>Accounts Payable</w:t>
        </w:r>
        <w:r>
          <w:rPr>
            <w:noProof/>
            <w:webHidden/>
          </w:rPr>
          <w:tab/>
        </w:r>
        <w:r>
          <w:rPr>
            <w:noProof/>
            <w:webHidden/>
          </w:rPr>
          <w:fldChar w:fldCharType="begin"/>
        </w:r>
        <w:r>
          <w:rPr>
            <w:noProof/>
            <w:webHidden/>
          </w:rPr>
          <w:instrText xml:space="preserve"> PAGEREF _Toc46232619 \h </w:instrText>
        </w:r>
        <w:r>
          <w:rPr>
            <w:noProof/>
            <w:webHidden/>
          </w:rPr>
        </w:r>
        <w:r>
          <w:rPr>
            <w:noProof/>
            <w:webHidden/>
          </w:rPr>
          <w:fldChar w:fldCharType="separate"/>
        </w:r>
        <w:r>
          <w:rPr>
            <w:noProof/>
            <w:webHidden/>
          </w:rPr>
          <w:t>12</w:t>
        </w:r>
        <w:r>
          <w:rPr>
            <w:noProof/>
            <w:webHidden/>
          </w:rPr>
          <w:fldChar w:fldCharType="end"/>
        </w:r>
      </w:hyperlink>
    </w:p>
    <w:p w14:paraId="721CEB31" w14:textId="63768E16" w:rsidR="00BE7B4C" w:rsidRDefault="00BE7B4C">
      <w:pPr>
        <w:pStyle w:val="TOC3"/>
        <w:rPr>
          <w:rFonts w:asciiTheme="minorHAnsi" w:eastAsiaTheme="minorEastAsia" w:hAnsiTheme="minorHAnsi" w:cstheme="minorBidi"/>
          <w:noProof/>
          <w:sz w:val="22"/>
          <w:szCs w:val="22"/>
        </w:rPr>
      </w:pPr>
      <w:hyperlink w:anchor="_Toc46232620" w:history="1">
        <w:r w:rsidRPr="0096575A">
          <w:rPr>
            <w:rStyle w:val="Hyperlink"/>
            <w:noProof/>
          </w:rPr>
          <w:t>Accounts Receivable</w:t>
        </w:r>
        <w:r>
          <w:rPr>
            <w:noProof/>
            <w:webHidden/>
          </w:rPr>
          <w:tab/>
        </w:r>
        <w:r>
          <w:rPr>
            <w:noProof/>
            <w:webHidden/>
          </w:rPr>
          <w:fldChar w:fldCharType="begin"/>
        </w:r>
        <w:r>
          <w:rPr>
            <w:noProof/>
            <w:webHidden/>
          </w:rPr>
          <w:instrText xml:space="preserve"> PAGEREF _Toc46232620 \h </w:instrText>
        </w:r>
        <w:r>
          <w:rPr>
            <w:noProof/>
            <w:webHidden/>
          </w:rPr>
        </w:r>
        <w:r>
          <w:rPr>
            <w:noProof/>
            <w:webHidden/>
          </w:rPr>
          <w:fldChar w:fldCharType="separate"/>
        </w:r>
        <w:r>
          <w:rPr>
            <w:noProof/>
            <w:webHidden/>
          </w:rPr>
          <w:t>12</w:t>
        </w:r>
        <w:r>
          <w:rPr>
            <w:noProof/>
            <w:webHidden/>
          </w:rPr>
          <w:fldChar w:fldCharType="end"/>
        </w:r>
      </w:hyperlink>
    </w:p>
    <w:p w14:paraId="5A779D3A" w14:textId="41F0F1E4" w:rsidR="00BE7B4C" w:rsidRDefault="00BE7B4C">
      <w:pPr>
        <w:pStyle w:val="TOC3"/>
        <w:rPr>
          <w:rFonts w:asciiTheme="minorHAnsi" w:eastAsiaTheme="minorEastAsia" w:hAnsiTheme="minorHAnsi" w:cstheme="minorBidi"/>
          <w:noProof/>
          <w:sz w:val="22"/>
          <w:szCs w:val="22"/>
        </w:rPr>
      </w:pPr>
      <w:hyperlink w:anchor="_Toc46232621" w:history="1">
        <w:r w:rsidRPr="0096575A">
          <w:rPr>
            <w:rStyle w:val="Hyperlink"/>
            <w:noProof/>
          </w:rPr>
          <w:t>Cash Management</w:t>
        </w:r>
        <w:r>
          <w:rPr>
            <w:noProof/>
            <w:webHidden/>
          </w:rPr>
          <w:tab/>
        </w:r>
        <w:r>
          <w:rPr>
            <w:noProof/>
            <w:webHidden/>
          </w:rPr>
          <w:fldChar w:fldCharType="begin"/>
        </w:r>
        <w:r>
          <w:rPr>
            <w:noProof/>
            <w:webHidden/>
          </w:rPr>
          <w:instrText xml:space="preserve"> PAGEREF _Toc46232621 \h </w:instrText>
        </w:r>
        <w:r>
          <w:rPr>
            <w:noProof/>
            <w:webHidden/>
          </w:rPr>
        </w:r>
        <w:r>
          <w:rPr>
            <w:noProof/>
            <w:webHidden/>
          </w:rPr>
          <w:fldChar w:fldCharType="separate"/>
        </w:r>
        <w:r>
          <w:rPr>
            <w:noProof/>
            <w:webHidden/>
          </w:rPr>
          <w:t>12</w:t>
        </w:r>
        <w:r>
          <w:rPr>
            <w:noProof/>
            <w:webHidden/>
          </w:rPr>
          <w:fldChar w:fldCharType="end"/>
        </w:r>
      </w:hyperlink>
    </w:p>
    <w:p w14:paraId="39D79F99" w14:textId="72958E8B" w:rsidR="00BE7B4C" w:rsidRDefault="00BE7B4C">
      <w:pPr>
        <w:pStyle w:val="TOC3"/>
        <w:rPr>
          <w:rFonts w:asciiTheme="minorHAnsi" w:eastAsiaTheme="minorEastAsia" w:hAnsiTheme="minorHAnsi" w:cstheme="minorBidi"/>
          <w:noProof/>
          <w:sz w:val="22"/>
          <w:szCs w:val="22"/>
        </w:rPr>
      </w:pPr>
      <w:hyperlink w:anchor="_Toc46232622" w:history="1">
        <w:r w:rsidRPr="0096575A">
          <w:rPr>
            <w:rStyle w:val="Hyperlink"/>
            <w:noProof/>
          </w:rPr>
          <w:t>CRM</w:t>
        </w:r>
        <w:r>
          <w:rPr>
            <w:noProof/>
            <w:webHidden/>
          </w:rPr>
          <w:tab/>
        </w:r>
        <w:r>
          <w:rPr>
            <w:noProof/>
            <w:webHidden/>
          </w:rPr>
          <w:fldChar w:fldCharType="begin"/>
        </w:r>
        <w:r>
          <w:rPr>
            <w:noProof/>
            <w:webHidden/>
          </w:rPr>
          <w:instrText xml:space="preserve"> PAGEREF _Toc46232622 \h </w:instrText>
        </w:r>
        <w:r>
          <w:rPr>
            <w:noProof/>
            <w:webHidden/>
          </w:rPr>
        </w:r>
        <w:r>
          <w:rPr>
            <w:noProof/>
            <w:webHidden/>
          </w:rPr>
          <w:fldChar w:fldCharType="separate"/>
        </w:r>
        <w:r>
          <w:rPr>
            <w:noProof/>
            <w:webHidden/>
          </w:rPr>
          <w:t>13</w:t>
        </w:r>
        <w:r>
          <w:rPr>
            <w:noProof/>
            <w:webHidden/>
          </w:rPr>
          <w:fldChar w:fldCharType="end"/>
        </w:r>
      </w:hyperlink>
    </w:p>
    <w:p w14:paraId="20128F25" w14:textId="2E36037D" w:rsidR="00BE7B4C" w:rsidRDefault="00BE7B4C">
      <w:pPr>
        <w:pStyle w:val="TOC3"/>
        <w:rPr>
          <w:rFonts w:asciiTheme="minorHAnsi" w:eastAsiaTheme="minorEastAsia" w:hAnsiTheme="minorHAnsi" w:cstheme="minorBidi"/>
          <w:noProof/>
          <w:sz w:val="22"/>
          <w:szCs w:val="22"/>
        </w:rPr>
      </w:pPr>
      <w:hyperlink w:anchor="_Toc46232623" w:history="1">
        <w:r w:rsidRPr="0096575A">
          <w:rPr>
            <w:rStyle w:val="Hyperlink"/>
            <w:noProof/>
          </w:rPr>
          <w:t>FREE</w:t>
        </w:r>
        <w:r>
          <w:rPr>
            <w:noProof/>
            <w:webHidden/>
          </w:rPr>
          <w:tab/>
        </w:r>
        <w:r>
          <w:rPr>
            <w:noProof/>
            <w:webHidden/>
          </w:rPr>
          <w:fldChar w:fldCharType="begin"/>
        </w:r>
        <w:r>
          <w:rPr>
            <w:noProof/>
            <w:webHidden/>
          </w:rPr>
          <w:instrText xml:space="preserve"> PAGEREF _Toc46232623 \h </w:instrText>
        </w:r>
        <w:r>
          <w:rPr>
            <w:noProof/>
            <w:webHidden/>
          </w:rPr>
        </w:r>
        <w:r>
          <w:rPr>
            <w:noProof/>
            <w:webHidden/>
          </w:rPr>
          <w:fldChar w:fldCharType="separate"/>
        </w:r>
        <w:r>
          <w:rPr>
            <w:noProof/>
            <w:webHidden/>
          </w:rPr>
          <w:t>13</w:t>
        </w:r>
        <w:r>
          <w:rPr>
            <w:noProof/>
            <w:webHidden/>
          </w:rPr>
          <w:fldChar w:fldCharType="end"/>
        </w:r>
      </w:hyperlink>
    </w:p>
    <w:p w14:paraId="030A3AC3" w14:textId="12C67124" w:rsidR="00BE7B4C" w:rsidRDefault="00BE7B4C">
      <w:pPr>
        <w:pStyle w:val="TOC3"/>
        <w:rPr>
          <w:rFonts w:asciiTheme="minorHAnsi" w:eastAsiaTheme="minorEastAsia" w:hAnsiTheme="minorHAnsi" w:cstheme="minorBidi"/>
          <w:noProof/>
          <w:sz w:val="22"/>
          <w:szCs w:val="22"/>
        </w:rPr>
      </w:pPr>
      <w:hyperlink w:anchor="_Toc46232624" w:history="1">
        <w:r w:rsidRPr="0096575A">
          <w:rPr>
            <w:rStyle w:val="Hyperlink"/>
            <w:noProof/>
          </w:rPr>
          <w:t>HR Payroll</w:t>
        </w:r>
        <w:r>
          <w:rPr>
            <w:noProof/>
            <w:webHidden/>
          </w:rPr>
          <w:tab/>
        </w:r>
        <w:r>
          <w:rPr>
            <w:noProof/>
            <w:webHidden/>
          </w:rPr>
          <w:fldChar w:fldCharType="begin"/>
        </w:r>
        <w:r>
          <w:rPr>
            <w:noProof/>
            <w:webHidden/>
          </w:rPr>
          <w:instrText xml:space="preserve"> PAGEREF _Toc46232624 \h </w:instrText>
        </w:r>
        <w:r>
          <w:rPr>
            <w:noProof/>
            <w:webHidden/>
          </w:rPr>
        </w:r>
        <w:r>
          <w:rPr>
            <w:noProof/>
            <w:webHidden/>
          </w:rPr>
          <w:fldChar w:fldCharType="separate"/>
        </w:r>
        <w:r>
          <w:rPr>
            <w:noProof/>
            <w:webHidden/>
          </w:rPr>
          <w:t>13</w:t>
        </w:r>
        <w:r>
          <w:rPr>
            <w:noProof/>
            <w:webHidden/>
          </w:rPr>
          <w:fldChar w:fldCharType="end"/>
        </w:r>
      </w:hyperlink>
    </w:p>
    <w:p w14:paraId="3A7D06C8" w14:textId="1AE083D0" w:rsidR="00BE7B4C" w:rsidRDefault="00BE7B4C">
      <w:pPr>
        <w:pStyle w:val="TOC3"/>
        <w:rPr>
          <w:rFonts w:asciiTheme="minorHAnsi" w:eastAsiaTheme="minorEastAsia" w:hAnsiTheme="minorHAnsi" w:cstheme="minorBidi"/>
          <w:noProof/>
          <w:sz w:val="22"/>
          <w:szCs w:val="22"/>
        </w:rPr>
      </w:pPr>
      <w:hyperlink w:anchor="_Toc46232625" w:history="1">
        <w:r w:rsidRPr="0096575A">
          <w:rPr>
            <w:rStyle w:val="Hyperlink"/>
            <w:noProof/>
          </w:rPr>
          <w:t>Inventory</w:t>
        </w:r>
        <w:r>
          <w:rPr>
            <w:noProof/>
            <w:webHidden/>
          </w:rPr>
          <w:tab/>
        </w:r>
        <w:r>
          <w:rPr>
            <w:noProof/>
            <w:webHidden/>
          </w:rPr>
          <w:fldChar w:fldCharType="begin"/>
        </w:r>
        <w:r>
          <w:rPr>
            <w:noProof/>
            <w:webHidden/>
          </w:rPr>
          <w:instrText xml:space="preserve"> PAGEREF _Toc46232625 \h </w:instrText>
        </w:r>
        <w:r>
          <w:rPr>
            <w:noProof/>
            <w:webHidden/>
          </w:rPr>
        </w:r>
        <w:r>
          <w:rPr>
            <w:noProof/>
            <w:webHidden/>
          </w:rPr>
          <w:fldChar w:fldCharType="separate"/>
        </w:r>
        <w:r>
          <w:rPr>
            <w:noProof/>
            <w:webHidden/>
          </w:rPr>
          <w:t>14</w:t>
        </w:r>
        <w:r>
          <w:rPr>
            <w:noProof/>
            <w:webHidden/>
          </w:rPr>
          <w:fldChar w:fldCharType="end"/>
        </w:r>
      </w:hyperlink>
    </w:p>
    <w:p w14:paraId="697A0C7C" w14:textId="772F7309" w:rsidR="00BE7B4C" w:rsidRDefault="00BE7B4C">
      <w:pPr>
        <w:pStyle w:val="TOC3"/>
        <w:rPr>
          <w:rFonts w:asciiTheme="minorHAnsi" w:eastAsiaTheme="minorEastAsia" w:hAnsiTheme="minorHAnsi" w:cstheme="minorBidi"/>
          <w:noProof/>
          <w:sz w:val="22"/>
          <w:szCs w:val="22"/>
        </w:rPr>
      </w:pPr>
      <w:hyperlink w:anchor="_Toc46232626" w:history="1">
        <w:r w:rsidRPr="0096575A">
          <w:rPr>
            <w:rStyle w:val="Hyperlink"/>
            <w:noProof/>
          </w:rPr>
          <w:t>JADE Utilities</w:t>
        </w:r>
        <w:r>
          <w:rPr>
            <w:noProof/>
            <w:webHidden/>
          </w:rPr>
          <w:tab/>
        </w:r>
        <w:r>
          <w:rPr>
            <w:noProof/>
            <w:webHidden/>
          </w:rPr>
          <w:fldChar w:fldCharType="begin"/>
        </w:r>
        <w:r>
          <w:rPr>
            <w:noProof/>
            <w:webHidden/>
          </w:rPr>
          <w:instrText xml:space="preserve"> PAGEREF _Toc46232626 \h </w:instrText>
        </w:r>
        <w:r>
          <w:rPr>
            <w:noProof/>
            <w:webHidden/>
          </w:rPr>
        </w:r>
        <w:r>
          <w:rPr>
            <w:noProof/>
            <w:webHidden/>
          </w:rPr>
          <w:fldChar w:fldCharType="separate"/>
        </w:r>
        <w:r>
          <w:rPr>
            <w:noProof/>
            <w:webHidden/>
          </w:rPr>
          <w:t>15</w:t>
        </w:r>
        <w:r>
          <w:rPr>
            <w:noProof/>
            <w:webHidden/>
          </w:rPr>
          <w:fldChar w:fldCharType="end"/>
        </w:r>
      </w:hyperlink>
    </w:p>
    <w:p w14:paraId="0A3DDC1F" w14:textId="10C73BE9" w:rsidR="00BE7B4C" w:rsidRDefault="00BE7B4C">
      <w:pPr>
        <w:pStyle w:val="TOC3"/>
        <w:rPr>
          <w:rFonts w:asciiTheme="minorHAnsi" w:eastAsiaTheme="minorEastAsia" w:hAnsiTheme="minorHAnsi" w:cstheme="minorBidi"/>
          <w:noProof/>
          <w:sz w:val="22"/>
          <w:szCs w:val="22"/>
        </w:rPr>
      </w:pPr>
      <w:hyperlink w:anchor="_Toc46232627" w:history="1">
        <w:r w:rsidRPr="0096575A">
          <w:rPr>
            <w:rStyle w:val="Hyperlink"/>
            <w:noProof/>
          </w:rPr>
          <w:t>Job Cost</w:t>
        </w:r>
        <w:r>
          <w:rPr>
            <w:noProof/>
            <w:webHidden/>
          </w:rPr>
          <w:tab/>
        </w:r>
        <w:r>
          <w:rPr>
            <w:noProof/>
            <w:webHidden/>
          </w:rPr>
          <w:fldChar w:fldCharType="begin"/>
        </w:r>
        <w:r>
          <w:rPr>
            <w:noProof/>
            <w:webHidden/>
          </w:rPr>
          <w:instrText xml:space="preserve"> PAGEREF _Toc46232627 \h </w:instrText>
        </w:r>
        <w:r>
          <w:rPr>
            <w:noProof/>
            <w:webHidden/>
          </w:rPr>
        </w:r>
        <w:r>
          <w:rPr>
            <w:noProof/>
            <w:webHidden/>
          </w:rPr>
          <w:fldChar w:fldCharType="separate"/>
        </w:r>
        <w:r>
          <w:rPr>
            <w:noProof/>
            <w:webHidden/>
          </w:rPr>
          <w:t>15</w:t>
        </w:r>
        <w:r>
          <w:rPr>
            <w:noProof/>
            <w:webHidden/>
          </w:rPr>
          <w:fldChar w:fldCharType="end"/>
        </w:r>
      </w:hyperlink>
    </w:p>
    <w:p w14:paraId="02325A65" w14:textId="2BA7BA96" w:rsidR="00BE7B4C" w:rsidRDefault="00BE7B4C">
      <w:pPr>
        <w:pStyle w:val="TOC3"/>
        <w:rPr>
          <w:rFonts w:asciiTheme="minorHAnsi" w:eastAsiaTheme="minorEastAsia" w:hAnsiTheme="minorHAnsi" w:cstheme="minorBidi"/>
          <w:noProof/>
          <w:sz w:val="22"/>
          <w:szCs w:val="22"/>
        </w:rPr>
      </w:pPr>
      <w:hyperlink w:anchor="_Toc46232628" w:history="1">
        <w:r w:rsidRPr="0096575A">
          <w:rPr>
            <w:rStyle w:val="Hyperlink"/>
            <w:noProof/>
          </w:rPr>
          <w:t>Mobility</w:t>
        </w:r>
        <w:r>
          <w:rPr>
            <w:noProof/>
            <w:webHidden/>
          </w:rPr>
          <w:tab/>
        </w:r>
        <w:r>
          <w:rPr>
            <w:noProof/>
            <w:webHidden/>
          </w:rPr>
          <w:fldChar w:fldCharType="begin"/>
        </w:r>
        <w:r>
          <w:rPr>
            <w:noProof/>
            <w:webHidden/>
          </w:rPr>
          <w:instrText xml:space="preserve"> PAGEREF _Toc46232628 \h </w:instrText>
        </w:r>
        <w:r>
          <w:rPr>
            <w:noProof/>
            <w:webHidden/>
          </w:rPr>
        </w:r>
        <w:r>
          <w:rPr>
            <w:noProof/>
            <w:webHidden/>
          </w:rPr>
          <w:fldChar w:fldCharType="separate"/>
        </w:r>
        <w:r>
          <w:rPr>
            <w:noProof/>
            <w:webHidden/>
          </w:rPr>
          <w:t>15</w:t>
        </w:r>
        <w:r>
          <w:rPr>
            <w:noProof/>
            <w:webHidden/>
          </w:rPr>
          <w:fldChar w:fldCharType="end"/>
        </w:r>
      </w:hyperlink>
    </w:p>
    <w:p w14:paraId="60C292F5" w14:textId="1821772D" w:rsidR="00BE7B4C" w:rsidRDefault="00BE7B4C">
      <w:pPr>
        <w:pStyle w:val="TOC3"/>
        <w:rPr>
          <w:rFonts w:asciiTheme="minorHAnsi" w:eastAsiaTheme="minorEastAsia" w:hAnsiTheme="minorHAnsi" w:cstheme="minorBidi"/>
          <w:noProof/>
          <w:sz w:val="22"/>
          <w:szCs w:val="22"/>
        </w:rPr>
      </w:pPr>
      <w:hyperlink w:anchor="_Toc46232629" w:history="1">
        <w:r w:rsidRPr="0096575A">
          <w:rPr>
            <w:rStyle w:val="Hyperlink"/>
            <w:noProof/>
          </w:rPr>
          <w:t>Reporting</w:t>
        </w:r>
        <w:r>
          <w:rPr>
            <w:noProof/>
            <w:webHidden/>
          </w:rPr>
          <w:tab/>
        </w:r>
        <w:r>
          <w:rPr>
            <w:noProof/>
            <w:webHidden/>
          </w:rPr>
          <w:fldChar w:fldCharType="begin"/>
        </w:r>
        <w:r>
          <w:rPr>
            <w:noProof/>
            <w:webHidden/>
          </w:rPr>
          <w:instrText xml:space="preserve"> PAGEREF _Toc46232629 \h </w:instrText>
        </w:r>
        <w:r>
          <w:rPr>
            <w:noProof/>
            <w:webHidden/>
          </w:rPr>
        </w:r>
        <w:r>
          <w:rPr>
            <w:noProof/>
            <w:webHidden/>
          </w:rPr>
          <w:fldChar w:fldCharType="separate"/>
        </w:r>
        <w:r>
          <w:rPr>
            <w:noProof/>
            <w:webHidden/>
          </w:rPr>
          <w:t>16</w:t>
        </w:r>
        <w:r>
          <w:rPr>
            <w:noProof/>
            <w:webHidden/>
          </w:rPr>
          <w:fldChar w:fldCharType="end"/>
        </w:r>
      </w:hyperlink>
    </w:p>
    <w:p w14:paraId="238C98AD" w14:textId="780795E2" w:rsidR="00BE7B4C" w:rsidRDefault="00BE7B4C">
      <w:pPr>
        <w:pStyle w:val="TOC3"/>
        <w:rPr>
          <w:rFonts w:asciiTheme="minorHAnsi" w:eastAsiaTheme="minorEastAsia" w:hAnsiTheme="minorHAnsi" w:cstheme="minorBidi"/>
          <w:noProof/>
          <w:sz w:val="22"/>
          <w:szCs w:val="22"/>
        </w:rPr>
      </w:pPr>
      <w:hyperlink w:anchor="_Toc46232630" w:history="1">
        <w:r w:rsidRPr="0096575A">
          <w:rPr>
            <w:rStyle w:val="Hyperlink"/>
            <w:noProof/>
          </w:rPr>
          <w:t>Windows Designer</w:t>
        </w:r>
        <w:r>
          <w:rPr>
            <w:noProof/>
            <w:webHidden/>
          </w:rPr>
          <w:tab/>
        </w:r>
        <w:r>
          <w:rPr>
            <w:noProof/>
            <w:webHidden/>
          </w:rPr>
          <w:fldChar w:fldCharType="begin"/>
        </w:r>
        <w:r>
          <w:rPr>
            <w:noProof/>
            <w:webHidden/>
          </w:rPr>
          <w:instrText xml:space="preserve"> PAGEREF _Toc46232630 \h </w:instrText>
        </w:r>
        <w:r>
          <w:rPr>
            <w:noProof/>
            <w:webHidden/>
          </w:rPr>
        </w:r>
        <w:r>
          <w:rPr>
            <w:noProof/>
            <w:webHidden/>
          </w:rPr>
          <w:fldChar w:fldCharType="separate"/>
        </w:r>
        <w:r>
          <w:rPr>
            <w:noProof/>
            <w:webHidden/>
          </w:rPr>
          <w:t>16</w:t>
        </w:r>
        <w:r>
          <w:rPr>
            <w:noProof/>
            <w:webHidden/>
          </w:rPr>
          <w:fldChar w:fldCharType="end"/>
        </w:r>
      </w:hyperlink>
    </w:p>
    <w:p w14:paraId="63C9DCE4" w14:textId="49B44AAE" w:rsidR="00BE7B4C" w:rsidRDefault="00BE7B4C">
      <w:pPr>
        <w:pStyle w:val="TOC3"/>
        <w:rPr>
          <w:rFonts w:asciiTheme="minorHAnsi" w:eastAsiaTheme="minorEastAsia" w:hAnsiTheme="minorHAnsi" w:cstheme="minorBidi"/>
          <w:noProof/>
          <w:sz w:val="22"/>
          <w:szCs w:val="22"/>
        </w:rPr>
      </w:pPr>
      <w:hyperlink w:anchor="_Toc46232631" w:history="1">
        <w:r w:rsidRPr="0096575A">
          <w:rPr>
            <w:rStyle w:val="Hyperlink"/>
            <w:noProof/>
          </w:rPr>
          <w:t>Various Fixes</w:t>
        </w:r>
        <w:r>
          <w:rPr>
            <w:noProof/>
            <w:webHidden/>
          </w:rPr>
          <w:tab/>
        </w:r>
        <w:r>
          <w:rPr>
            <w:noProof/>
            <w:webHidden/>
          </w:rPr>
          <w:fldChar w:fldCharType="begin"/>
        </w:r>
        <w:r>
          <w:rPr>
            <w:noProof/>
            <w:webHidden/>
          </w:rPr>
          <w:instrText xml:space="preserve"> PAGEREF _Toc46232631 \h </w:instrText>
        </w:r>
        <w:r>
          <w:rPr>
            <w:noProof/>
            <w:webHidden/>
          </w:rPr>
        </w:r>
        <w:r>
          <w:rPr>
            <w:noProof/>
            <w:webHidden/>
          </w:rPr>
          <w:fldChar w:fldCharType="separate"/>
        </w:r>
        <w:r>
          <w:rPr>
            <w:noProof/>
            <w:webHidden/>
          </w:rPr>
          <w:t>16</w:t>
        </w:r>
        <w:r>
          <w:rPr>
            <w:noProof/>
            <w:webHidden/>
          </w:rPr>
          <w:fldChar w:fldCharType="end"/>
        </w:r>
      </w:hyperlink>
    </w:p>
    <w:p w14:paraId="522C11EF" w14:textId="46FF7B3C" w:rsidR="00BE7B4C" w:rsidRDefault="00BE7B4C">
      <w:pPr>
        <w:pStyle w:val="TOC1"/>
        <w:rPr>
          <w:rFonts w:asciiTheme="minorHAnsi" w:eastAsiaTheme="minorEastAsia" w:hAnsiTheme="minorHAnsi" w:cstheme="minorBidi"/>
          <w:color w:val="auto"/>
          <w:sz w:val="22"/>
          <w:szCs w:val="22"/>
          <w:lang w:eastAsia="en-AU"/>
        </w:rPr>
      </w:pPr>
      <w:hyperlink w:anchor="_Toc46232632" w:history="1">
        <w:r w:rsidRPr="0096575A">
          <w:rPr>
            <w:rStyle w:val="Hyperlink"/>
          </w:rPr>
          <w:t>Bug Fixes - Greentree Browser</w:t>
        </w:r>
        <w:r>
          <w:rPr>
            <w:webHidden/>
          </w:rPr>
          <w:tab/>
        </w:r>
        <w:r>
          <w:rPr>
            <w:webHidden/>
          </w:rPr>
          <w:fldChar w:fldCharType="begin"/>
        </w:r>
        <w:r>
          <w:rPr>
            <w:webHidden/>
          </w:rPr>
          <w:instrText xml:space="preserve"> PAGEREF _Toc46232632 \h </w:instrText>
        </w:r>
        <w:r>
          <w:rPr>
            <w:webHidden/>
          </w:rPr>
        </w:r>
        <w:r>
          <w:rPr>
            <w:webHidden/>
          </w:rPr>
          <w:fldChar w:fldCharType="separate"/>
        </w:r>
        <w:r>
          <w:rPr>
            <w:webHidden/>
          </w:rPr>
          <w:t>17</w:t>
        </w:r>
        <w:r>
          <w:rPr>
            <w:webHidden/>
          </w:rPr>
          <w:fldChar w:fldCharType="end"/>
        </w:r>
      </w:hyperlink>
    </w:p>
    <w:p w14:paraId="2E373DC0" w14:textId="7FB8E85E" w:rsidR="003178CD" w:rsidRDefault="007F37E9" w:rsidP="003178CD">
      <w:pPr>
        <w:pStyle w:val="TOC1"/>
      </w:pPr>
      <w:r>
        <w:fldChar w:fldCharType="end"/>
      </w:r>
    </w:p>
    <w:p w14:paraId="092A5EDF" w14:textId="554CF0FA" w:rsidR="003178CD" w:rsidRDefault="003178CD" w:rsidP="003178CD">
      <w:pPr>
        <w:pStyle w:val="TOC1"/>
        <w:sectPr w:rsidR="003178CD" w:rsidSect="003178CD">
          <w:footerReference w:type="default" r:id="rId14"/>
          <w:footerReference w:type="first" r:id="rId15"/>
          <w:pgSz w:w="11906" w:h="16838" w:code="9"/>
          <w:pgMar w:top="1134" w:right="1134" w:bottom="1134" w:left="1134" w:header="720" w:footer="567" w:gutter="0"/>
          <w:cols w:space="567"/>
          <w:titlePg/>
          <w:docGrid w:linePitch="360"/>
        </w:sectPr>
      </w:pPr>
    </w:p>
    <w:p w14:paraId="39863B92" w14:textId="4CA4AA6B" w:rsidR="003178CD" w:rsidRDefault="003178CD" w:rsidP="00086F9F">
      <w:pPr>
        <w:pStyle w:val="Heading1"/>
        <w:ind w:left="851"/>
      </w:pPr>
      <w:bookmarkStart w:id="1" w:name="_Toc197154763"/>
      <w:bookmarkStart w:id="2" w:name="_Ref292955801"/>
      <w:bookmarkStart w:id="3" w:name="_Ref311730046"/>
      <w:bookmarkStart w:id="4" w:name="_Ref311730051"/>
      <w:bookmarkStart w:id="5" w:name="_Ref337626341"/>
      <w:bookmarkStart w:id="6" w:name="_Toc401319340"/>
      <w:bookmarkStart w:id="7" w:name="_Toc37306904"/>
      <w:bookmarkStart w:id="8" w:name="_Toc41975090"/>
      <w:bookmarkStart w:id="9" w:name="_Toc389644572"/>
      <w:bookmarkStart w:id="10" w:name="_Toc46232602"/>
      <w:r>
        <w:lastRenderedPageBreak/>
        <w:t>Introduction</w:t>
      </w:r>
      <w:bookmarkEnd w:id="1"/>
      <w:bookmarkEnd w:id="2"/>
      <w:bookmarkEnd w:id="3"/>
      <w:bookmarkEnd w:id="4"/>
      <w:bookmarkEnd w:id="5"/>
      <w:bookmarkEnd w:id="6"/>
      <w:bookmarkEnd w:id="7"/>
      <w:bookmarkEnd w:id="8"/>
      <w:bookmarkEnd w:id="10"/>
    </w:p>
    <w:p w14:paraId="799555C3" w14:textId="77777777" w:rsidR="00E34917" w:rsidRDefault="00E34917" w:rsidP="00E34917">
      <w:pPr>
        <w:pStyle w:val="FirstParagraph"/>
        <w:ind w:left="567"/>
      </w:pPr>
      <w:r>
        <w:t>Release 2018.3.0 contains enhancements to MYOB Greentree Desktop and MYOB Greentree Browser.</w:t>
      </w:r>
    </w:p>
    <w:p w14:paraId="710824D4" w14:textId="77777777" w:rsidR="00E34917" w:rsidRDefault="00E34917" w:rsidP="00E34917">
      <w:pPr>
        <w:pStyle w:val="BodyText"/>
        <w:ind w:left="567"/>
      </w:pPr>
      <w:r>
        <w:t>In Greentree Desktop, we've integrated Qlik Sense with Workflow Desks for better reporting, improved team security, made several performance improvements, and made changes to the Interface Maintenance form.</w:t>
      </w:r>
    </w:p>
    <w:p w14:paraId="6079D71E" w14:textId="77777777" w:rsidR="00E34917" w:rsidRDefault="00E34917" w:rsidP="00E34917">
      <w:pPr>
        <w:pStyle w:val="BodyText"/>
        <w:ind w:left="567"/>
      </w:pPr>
      <w:r>
        <w:t>In Greentree Browser, we've added new columns to the Timesheet Review form to make it easier for reviewers to check timesheets.</w:t>
      </w:r>
    </w:p>
    <w:p w14:paraId="3D3E8EB6" w14:textId="77777777" w:rsidR="00E34917" w:rsidRDefault="00E34917" w:rsidP="00E34917">
      <w:pPr>
        <w:pStyle w:val="BodyText"/>
        <w:ind w:left="567"/>
      </w:pPr>
      <w:r>
        <w:t>This release also includes bug fixes for both Greentree Desktop and Greentree Browser.</w:t>
      </w:r>
    </w:p>
    <w:p w14:paraId="4073B9FC" w14:textId="77777777" w:rsidR="00E34917" w:rsidRDefault="00E34917">
      <w:pPr>
        <w:spacing w:before="0" w:after="0"/>
        <w:ind w:left="0"/>
        <w:rPr>
          <w:rFonts w:ascii="Neutro MYOB Medium" w:hAnsi="Neutro MYOB Medium" w:cs="Stone Sans"/>
          <w:bCs/>
          <w:sz w:val="76"/>
          <w:szCs w:val="76"/>
          <w:lang w:val="en-AU"/>
        </w:rPr>
      </w:pPr>
      <w:bookmarkStart w:id="11" w:name="enhancements---greentree-desktop"/>
      <w:bookmarkEnd w:id="11"/>
      <w:r>
        <w:br w:type="page"/>
      </w:r>
    </w:p>
    <w:p w14:paraId="23F5BCC7" w14:textId="0DA2FA94" w:rsidR="00E34917" w:rsidRDefault="00E34917" w:rsidP="00E34917">
      <w:pPr>
        <w:pStyle w:val="Heading1"/>
        <w:ind w:left="851"/>
      </w:pPr>
      <w:bookmarkStart w:id="12" w:name="_Toc46232603"/>
      <w:r>
        <w:lastRenderedPageBreak/>
        <w:t>Enhancements - Greentree Desktop</w:t>
      </w:r>
      <w:bookmarkEnd w:id="12"/>
    </w:p>
    <w:p w14:paraId="2557DDE9" w14:textId="77777777" w:rsidR="00E34917" w:rsidRDefault="00E34917" w:rsidP="00E34917">
      <w:pPr>
        <w:pStyle w:val="FirstParagraph"/>
        <w:ind w:left="567"/>
      </w:pPr>
      <w:r>
        <w:t>This release of Greentree Desktop includes these enhancements:</w:t>
      </w:r>
    </w:p>
    <w:p w14:paraId="36E8EF4A" w14:textId="77777777" w:rsidR="00E34917" w:rsidRDefault="00E34917" w:rsidP="00E34917">
      <w:pPr>
        <w:pStyle w:val="Compact"/>
        <w:numPr>
          <w:ilvl w:val="0"/>
          <w:numId w:val="27"/>
        </w:numPr>
        <w:ind w:left="993"/>
      </w:pPr>
      <w:hyperlink w:anchor="qlik">
        <w:r w:rsidRPr="69146C7D">
          <w:rPr>
            <w:rStyle w:val="Hyperlink"/>
          </w:rPr>
          <w:t>Qlik Sense Integration</w:t>
        </w:r>
      </w:hyperlink>
    </w:p>
    <w:p w14:paraId="2130B3D7" w14:textId="77777777" w:rsidR="00E34917" w:rsidRDefault="00E34917" w:rsidP="00E34917">
      <w:pPr>
        <w:pStyle w:val="Compact"/>
        <w:numPr>
          <w:ilvl w:val="0"/>
          <w:numId w:val="27"/>
        </w:numPr>
        <w:ind w:left="993"/>
      </w:pPr>
      <w:hyperlink w:anchor="teamsec">
        <w:r w:rsidRPr="69146C7D">
          <w:rPr>
            <w:rStyle w:val="Hyperlink"/>
          </w:rPr>
          <w:t>Changes to Team Security Attributes</w:t>
        </w:r>
      </w:hyperlink>
    </w:p>
    <w:p w14:paraId="646FFD4B" w14:textId="77777777" w:rsidR="00E34917" w:rsidRDefault="00E34917" w:rsidP="00E34917">
      <w:pPr>
        <w:pStyle w:val="Compact"/>
        <w:numPr>
          <w:ilvl w:val="0"/>
          <w:numId w:val="27"/>
        </w:numPr>
        <w:ind w:left="993"/>
      </w:pPr>
      <w:hyperlink w:anchor="performance">
        <w:r w:rsidRPr="69146C7D">
          <w:rPr>
            <w:rStyle w:val="Hyperlink"/>
          </w:rPr>
          <w:t>Performance Improvements</w:t>
        </w:r>
      </w:hyperlink>
    </w:p>
    <w:p w14:paraId="37551D4F" w14:textId="77777777" w:rsidR="00E34917" w:rsidRDefault="00E34917" w:rsidP="00E34917">
      <w:pPr>
        <w:pStyle w:val="Compact"/>
        <w:numPr>
          <w:ilvl w:val="0"/>
          <w:numId w:val="27"/>
        </w:numPr>
        <w:ind w:left="993"/>
      </w:pPr>
      <w:hyperlink w:anchor="maintenance">
        <w:r w:rsidRPr="69146C7D">
          <w:rPr>
            <w:rStyle w:val="Hyperlink"/>
          </w:rPr>
          <w:t>Changes to Interface Maintenance Form</w:t>
        </w:r>
      </w:hyperlink>
    </w:p>
    <w:p w14:paraId="57522B3A" w14:textId="77777777" w:rsidR="00E34917" w:rsidRDefault="00E34917" w:rsidP="00E34917">
      <w:pPr>
        <w:pStyle w:val="Compact"/>
        <w:numPr>
          <w:ilvl w:val="0"/>
          <w:numId w:val="27"/>
        </w:numPr>
        <w:ind w:left="993"/>
      </w:pPr>
      <w:hyperlink w:anchor="statement">
        <w:r w:rsidRPr="69146C7D">
          <w:rPr>
            <w:rStyle w:val="Hyperlink"/>
            <w:i/>
            <w:iCs/>
          </w:rPr>
          <w:t>Statement provided</w:t>
        </w:r>
        <w:r w:rsidRPr="69146C7D">
          <w:rPr>
            <w:rStyle w:val="Hyperlink"/>
          </w:rPr>
          <w:t xml:space="preserve"> Option Available for Contractors</w:t>
        </w:r>
      </w:hyperlink>
    </w:p>
    <w:p w14:paraId="06512D82" w14:textId="77777777" w:rsidR="00E34917" w:rsidRDefault="00E34917" w:rsidP="00E34917">
      <w:pPr>
        <w:pStyle w:val="Compact"/>
        <w:numPr>
          <w:ilvl w:val="0"/>
          <w:numId w:val="27"/>
        </w:numPr>
        <w:ind w:left="993"/>
      </w:pPr>
      <w:hyperlink w:anchor="backup">
        <w:r w:rsidRPr="69146C7D">
          <w:rPr>
            <w:rStyle w:val="Hyperlink"/>
          </w:rPr>
          <w:t>Enhanced Backup Options on Task Scheduler Form</w:t>
        </w:r>
      </w:hyperlink>
    </w:p>
    <w:p w14:paraId="734B9B1B" w14:textId="77777777" w:rsidR="00E34917" w:rsidRDefault="00E34917" w:rsidP="00E34917">
      <w:pPr>
        <w:pStyle w:val="Compact"/>
        <w:numPr>
          <w:ilvl w:val="0"/>
          <w:numId w:val="27"/>
        </w:numPr>
        <w:ind w:left="993"/>
      </w:pPr>
      <w:hyperlink w:anchor="fonts">
        <w:r w:rsidRPr="69146C7D">
          <w:rPr>
            <w:rStyle w:val="Hyperlink"/>
          </w:rPr>
          <w:t>User Interface Improvements</w:t>
        </w:r>
      </w:hyperlink>
    </w:p>
    <w:p w14:paraId="368A5491" w14:textId="77777777" w:rsidR="00E34917" w:rsidRDefault="00E34917" w:rsidP="00E34917">
      <w:pPr>
        <w:pStyle w:val="Heading2"/>
      </w:pPr>
      <w:bookmarkStart w:id="13" w:name="qlik"/>
      <w:bookmarkStart w:id="14" w:name="_Toc46232604"/>
      <w:bookmarkEnd w:id="13"/>
      <w:r>
        <w:t>Qlik Sense Integration</w:t>
      </w:r>
      <w:bookmarkEnd w:id="14"/>
    </w:p>
    <w:p w14:paraId="73DB1EF5" w14:textId="3D52B0F5" w:rsidR="00E34917" w:rsidRDefault="00E34917" w:rsidP="00E34917">
      <w:pPr>
        <w:pStyle w:val="TableNote"/>
        <w:ind w:left="1134"/>
      </w:pPr>
      <w:r>
        <w:t xml:space="preserve"> You must have a license for Qlik Sense to use this feature.</w:t>
      </w:r>
    </w:p>
    <w:p w14:paraId="383F8681" w14:textId="77777777" w:rsidR="00E34917" w:rsidRDefault="00E34917" w:rsidP="00E34917">
      <w:pPr>
        <w:pStyle w:val="BodyText"/>
        <w:ind w:left="567"/>
      </w:pPr>
      <w:r>
        <w:t xml:space="preserve">With release 2018.3.0, we've added support for </w:t>
      </w:r>
      <w:hyperlink r:id="rId16">
        <w:r w:rsidRPr="69146C7D">
          <w:rPr>
            <w:rStyle w:val="Hyperlink"/>
          </w:rPr>
          <w:t>Qlik Sense</w:t>
        </w:r>
      </w:hyperlink>
      <w:r>
        <w:t xml:space="preserve"> to Greentree Desktop. Qlik Sense is a third-party reporting and data analysis tool that enhances Greentree's reporting capabilities. Using Qlik Sense, you can delve deeper into your data and better analyse it.</w:t>
      </w:r>
    </w:p>
    <w:p w14:paraId="7817D31C" w14:textId="77777777" w:rsidR="00E34917" w:rsidRDefault="00E34917" w:rsidP="00E34917">
      <w:pPr>
        <w:pStyle w:val="BodyText"/>
        <w:ind w:left="567"/>
      </w:pPr>
      <w:hyperlink r:id="rId17">
        <w:r w:rsidRPr="69146C7D">
          <w:rPr>
            <w:rStyle w:val="Hyperlink"/>
          </w:rPr>
          <w:t>Learn more</w:t>
        </w:r>
      </w:hyperlink>
      <w:r>
        <w:t xml:space="preserve"> about Qlik Sense and what it can do.</w:t>
      </w:r>
    </w:p>
    <w:p w14:paraId="450AC79E" w14:textId="77777777" w:rsidR="00E34917" w:rsidRDefault="00E34917" w:rsidP="00E34917">
      <w:pPr>
        <w:pStyle w:val="Heading3"/>
        <w:ind w:left="567"/>
      </w:pPr>
      <w:bookmarkStart w:id="15" w:name="initial-setup"/>
      <w:bookmarkStart w:id="16" w:name="_Toc46232605"/>
      <w:bookmarkEnd w:id="15"/>
      <w:r>
        <w:t>Initial Setup</w:t>
      </w:r>
      <w:bookmarkEnd w:id="16"/>
    </w:p>
    <w:p w14:paraId="4998C859" w14:textId="77777777" w:rsidR="00E34917" w:rsidRDefault="00E34917" w:rsidP="00E34917">
      <w:pPr>
        <w:pStyle w:val="FirstParagraph"/>
        <w:ind w:left="567"/>
      </w:pPr>
      <w:r>
        <w:t>Before you can use Qlik Sense with Greentree Desktop, you need to do some setup:</w:t>
      </w:r>
    </w:p>
    <w:p w14:paraId="054AD0E8" w14:textId="77777777" w:rsidR="00E34917" w:rsidRDefault="00E34917" w:rsidP="00E34917">
      <w:pPr>
        <w:numPr>
          <w:ilvl w:val="0"/>
          <w:numId w:val="28"/>
        </w:numPr>
        <w:spacing w:before="0" w:after="200"/>
        <w:ind w:left="993"/>
      </w:pPr>
      <w:r>
        <w:t xml:space="preserve">In Greentree Desktop, go to </w:t>
      </w:r>
      <w:r w:rsidRPr="69146C7D">
        <w:rPr>
          <w:b/>
          <w:bCs/>
        </w:rPr>
        <w:t>System &gt; System Setup &gt; General System Preferences</w:t>
      </w:r>
      <w:r>
        <w:t>.</w:t>
      </w:r>
    </w:p>
    <w:p w14:paraId="223D0E34" w14:textId="77777777" w:rsidR="00E34917" w:rsidRDefault="00E34917" w:rsidP="00E34917">
      <w:pPr>
        <w:pStyle w:val="Compact"/>
        <w:numPr>
          <w:ilvl w:val="0"/>
          <w:numId w:val="26"/>
        </w:numPr>
        <w:ind w:left="993"/>
      </w:pPr>
      <w:r>
        <w:rPr>
          <w:noProof/>
        </w:rPr>
        <w:drawing>
          <wp:inline distT="0" distB="0" distL="0" distR="0" wp14:anchorId="6E1B3DA7" wp14:editId="26191DF7">
            <wp:extent cx="3543300" cy="7810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lik-general-system-preferences.png"/>
                    <pic:cNvPicPr>
                      <a:picLocks noChangeAspect="1" noChangeArrowheads="1"/>
                    </pic:cNvPicPr>
                  </pic:nvPicPr>
                  <pic:blipFill>
                    <a:blip r:embed="rId18"/>
                    <a:stretch>
                      <a:fillRect/>
                    </a:stretch>
                  </pic:blipFill>
                  <pic:spPr bwMode="auto">
                    <a:xfrm>
                      <a:off x="0" y="0"/>
                      <a:ext cx="3545296" cy="781490"/>
                    </a:xfrm>
                    <a:prstGeom prst="rect">
                      <a:avLst/>
                    </a:prstGeom>
                    <a:noFill/>
                    <a:ln w="9525">
                      <a:noFill/>
                      <a:headEnd/>
                      <a:tailEnd/>
                    </a:ln>
                  </pic:spPr>
                </pic:pic>
              </a:graphicData>
            </a:graphic>
          </wp:inline>
        </w:drawing>
      </w:r>
    </w:p>
    <w:p w14:paraId="1B56A407" w14:textId="77777777" w:rsidR="00E34917" w:rsidRDefault="00E34917" w:rsidP="00E34917">
      <w:pPr>
        <w:pStyle w:val="Compact"/>
        <w:numPr>
          <w:ilvl w:val="0"/>
          <w:numId w:val="28"/>
        </w:numPr>
        <w:ind w:left="993"/>
      </w:pPr>
      <w:r>
        <w:t xml:space="preserve">On the </w:t>
      </w:r>
      <w:r w:rsidRPr="69146C7D">
        <w:rPr>
          <w:b/>
          <w:bCs/>
        </w:rPr>
        <w:t>Main</w:t>
      </w:r>
      <w:r>
        <w:t xml:space="preserve"> tab, select the way in which you are connecting to Qlik Sense from the </w:t>
      </w:r>
      <w:r w:rsidRPr="69146C7D">
        <w:rPr>
          <w:b/>
          <w:bCs/>
        </w:rPr>
        <w:t>Qlik Sense connection type</w:t>
      </w:r>
      <w:r>
        <w:t xml:space="preserve"> dropdown list:</w:t>
      </w:r>
    </w:p>
    <w:p w14:paraId="65DF70CA" w14:textId="77777777" w:rsidR="00E34917" w:rsidRDefault="00E34917" w:rsidP="00E34917">
      <w:pPr>
        <w:pStyle w:val="Compact"/>
        <w:numPr>
          <w:ilvl w:val="0"/>
          <w:numId w:val="30"/>
        </w:numPr>
        <w:ind w:left="1418"/>
      </w:pPr>
      <w:r w:rsidRPr="69146C7D">
        <w:rPr>
          <w:b/>
          <w:bCs/>
        </w:rPr>
        <w:t>Desktop</w:t>
      </w:r>
      <w:r>
        <w:t xml:space="preserve"> — Select this option is you're using Qlik Sense via the </w:t>
      </w:r>
      <w:hyperlink r:id="rId19">
        <w:r w:rsidRPr="69146C7D">
          <w:rPr>
            <w:rStyle w:val="Hyperlink"/>
          </w:rPr>
          <w:t>Qlik Sense Desktop</w:t>
        </w:r>
      </w:hyperlink>
      <w:r>
        <w:t>.</w:t>
      </w:r>
    </w:p>
    <w:p w14:paraId="47F6E3D4" w14:textId="77777777" w:rsidR="00E34917" w:rsidRDefault="00E34917" w:rsidP="00E34917">
      <w:pPr>
        <w:pStyle w:val="Compact"/>
        <w:numPr>
          <w:ilvl w:val="0"/>
          <w:numId w:val="30"/>
        </w:numPr>
        <w:ind w:left="1418"/>
      </w:pPr>
      <w:r w:rsidRPr="69146C7D">
        <w:rPr>
          <w:b/>
          <w:bCs/>
        </w:rPr>
        <w:t>Active Directory</w:t>
      </w:r>
      <w:r>
        <w:t xml:space="preserve"> — Select this option if you're giving Qlik Sense access to your Active Directory domain to get user credentials.</w:t>
      </w:r>
    </w:p>
    <w:p w14:paraId="658F0BD0" w14:textId="77777777" w:rsidR="00E34917" w:rsidRDefault="00E34917" w:rsidP="00E34917">
      <w:pPr>
        <w:numPr>
          <w:ilvl w:val="0"/>
          <w:numId w:val="28"/>
        </w:numPr>
        <w:spacing w:before="0" w:after="200"/>
        <w:ind w:left="993"/>
      </w:pPr>
      <w:r>
        <w:t xml:space="preserve">In the </w:t>
      </w:r>
      <w:r w:rsidRPr="69146C7D">
        <w:rPr>
          <w:b/>
          <w:bCs/>
        </w:rPr>
        <w:t>Qlik Sense website address</w:t>
      </w:r>
      <w:r>
        <w:t xml:space="preserve"> field, enter the URL that points to the Qlik Sense hub (which is a repository of the Qlik Sense applications you have permissions to use).</w:t>
      </w:r>
    </w:p>
    <w:p w14:paraId="18DE85FB" w14:textId="1DE46686" w:rsidR="00E34917" w:rsidRPr="00E34917" w:rsidRDefault="00E34917" w:rsidP="00E34917">
      <w:pPr>
        <w:pStyle w:val="TableNote"/>
        <w:ind w:left="1276"/>
      </w:pPr>
      <w:r>
        <w:t>You can learn more about the hub in the Qlik Sense online help.</w:t>
      </w:r>
    </w:p>
    <w:p w14:paraId="12D8F77A" w14:textId="77777777" w:rsidR="00E34917" w:rsidRDefault="00E34917" w:rsidP="00E34917">
      <w:pPr>
        <w:pStyle w:val="Compact"/>
        <w:numPr>
          <w:ilvl w:val="0"/>
          <w:numId w:val="28"/>
        </w:numPr>
        <w:ind w:left="993"/>
      </w:pPr>
      <w:r>
        <w:t>Save your changes.</w:t>
      </w:r>
    </w:p>
    <w:p w14:paraId="289AC5B5" w14:textId="77777777" w:rsidR="00E34917" w:rsidRDefault="00E34917" w:rsidP="00E34917">
      <w:pPr>
        <w:pStyle w:val="Compact"/>
        <w:numPr>
          <w:ilvl w:val="0"/>
          <w:numId w:val="28"/>
        </w:numPr>
        <w:ind w:left="993"/>
      </w:pPr>
      <w:r>
        <w:t xml:space="preserve">Go to </w:t>
      </w:r>
      <w:r w:rsidRPr="69146C7D">
        <w:rPr>
          <w:b/>
          <w:bCs/>
        </w:rPr>
        <w:t>File &gt; Preferences</w:t>
      </w:r>
      <w:r>
        <w:t>.</w:t>
      </w:r>
    </w:p>
    <w:p w14:paraId="549F880B" w14:textId="77777777" w:rsidR="00E34917" w:rsidRDefault="00E34917" w:rsidP="00E34917">
      <w:pPr>
        <w:numPr>
          <w:ilvl w:val="0"/>
          <w:numId w:val="28"/>
        </w:numPr>
        <w:spacing w:before="0" w:after="200"/>
        <w:ind w:left="993"/>
      </w:pPr>
      <w:r>
        <w:lastRenderedPageBreak/>
        <w:t xml:space="preserve">In the </w:t>
      </w:r>
      <w:r w:rsidRPr="69146C7D">
        <w:rPr>
          <w:b/>
          <w:bCs/>
        </w:rPr>
        <w:t>Qlik User Name</w:t>
      </w:r>
      <w:r>
        <w:t xml:space="preserve"> field on the </w:t>
      </w:r>
      <w:r w:rsidRPr="69146C7D">
        <w:rPr>
          <w:b/>
          <w:bCs/>
        </w:rPr>
        <w:t>Main</w:t>
      </w:r>
      <w:r>
        <w:t xml:space="preserve"> tab, enter the name of your workstation, followed by your user name — for example, </w:t>
      </w:r>
      <w:r w:rsidRPr="69146C7D">
        <w:rPr>
          <w:i/>
          <w:iCs/>
        </w:rPr>
        <w:t>COMPUTER123.mycorp.corp.net\</w:t>
      </w:r>
      <w:proofErr w:type="spellStart"/>
      <w:r w:rsidRPr="69146C7D">
        <w:rPr>
          <w:i/>
          <w:iCs/>
        </w:rPr>
        <w:t>jsmythe</w:t>
      </w:r>
      <w:proofErr w:type="spellEnd"/>
      <w:r>
        <w:t>.</w:t>
      </w:r>
    </w:p>
    <w:p w14:paraId="0732FF4B" w14:textId="77777777" w:rsidR="00E34917" w:rsidRDefault="00E34917" w:rsidP="00E34917">
      <w:pPr>
        <w:pStyle w:val="Compact"/>
        <w:numPr>
          <w:ilvl w:val="0"/>
          <w:numId w:val="26"/>
        </w:numPr>
        <w:ind w:left="993"/>
      </w:pPr>
      <w:r>
        <w:t>This option uses your permissions to control what you can see and edit in Qlik Sense reports.</w:t>
      </w:r>
    </w:p>
    <w:p w14:paraId="4A7885EF" w14:textId="77777777" w:rsidR="00E34917" w:rsidRDefault="00E34917" w:rsidP="00E34917">
      <w:pPr>
        <w:numPr>
          <w:ilvl w:val="0"/>
          <w:numId w:val="28"/>
        </w:numPr>
        <w:spacing w:before="0" w:after="200"/>
        <w:ind w:left="993"/>
      </w:pPr>
      <w:r>
        <w:t>Save your changes.</w:t>
      </w:r>
    </w:p>
    <w:p w14:paraId="0CB709AE" w14:textId="7B94D9F3" w:rsidR="00E34917" w:rsidRDefault="00E34917" w:rsidP="00E34917">
      <w:pPr>
        <w:pStyle w:val="TableNote"/>
        <w:ind w:left="1134"/>
      </w:pPr>
      <w:r>
        <w:t xml:space="preserve">If you didn't select </w:t>
      </w:r>
      <w:r w:rsidRPr="69146C7D">
        <w:rPr>
          <w:b/>
          <w:bCs/>
        </w:rPr>
        <w:t>Active Directory</w:t>
      </w:r>
      <w:r>
        <w:t xml:space="preserve"> in step 2 above, Greentree will prompt you for a user name and a password to log into Qlik Sense. After you enter both, you connect to the Qlik Sense hub.</w:t>
      </w:r>
    </w:p>
    <w:p w14:paraId="64FB023E" w14:textId="77777777" w:rsidR="00E34917" w:rsidRDefault="00E34917" w:rsidP="00E34917">
      <w:pPr>
        <w:pStyle w:val="Heading3"/>
        <w:ind w:left="567"/>
      </w:pPr>
      <w:bookmarkStart w:id="17" w:name="creating-a-workflow-desk"/>
      <w:bookmarkStart w:id="18" w:name="_Toc46232606"/>
      <w:bookmarkEnd w:id="17"/>
      <w:r>
        <w:t>Creating a Workflow Desk</w:t>
      </w:r>
      <w:bookmarkEnd w:id="18"/>
    </w:p>
    <w:p w14:paraId="0C9200E8" w14:textId="77777777" w:rsidR="00E34917" w:rsidRDefault="00E34917" w:rsidP="00E34917">
      <w:pPr>
        <w:pStyle w:val="FirstParagraph"/>
        <w:ind w:left="567"/>
      </w:pPr>
      <w:r>
        <w:t xml:space="preserve">You interact with the information from Qlik Sense applications using a Greentree </w:t>
      </w:r>
      <w:hyperlink r:id="rId20">
        <w:r w:rsidRPr="69146C7D">
          <w:rPr>
            <w:rStyle w:val="Hyperlink"/>
          </w:rPr>
          <w:t>Workflow Desk</w:t>
        </w:r>
      </w:hyperlink>
      <w:r>
        <w:t>.</w:t>
      </w:r>
    </w:p>
    <w:p w14:paraId="58398BD6" w14:textId="77777777" w:rsidR="00E34917" w:rsidRDefault="00E34917" w:rsidP="00E34917">
      <w:pPr>
        <w:pStyle w:val="BodyText"/>
        <w:ind w:left="567"/>
      </w:pPr>
      <w:r>
        <w:t>To create a Workflow Desk for Qlik Sense:</w:t>
      </w:r>
    </w:p>
    <w:p w14:paraId="32B67C7D" w14:textId="77777777" w:rsidR="00E34917" w:rsidRDefault="00E34917" w:rsidP="00E34917">
      <w:pPr>
        <w:numPr>
          <w:ilvl w:val="0"/>
          <w:numId w:val="29"/>
        </w:numPr>
        <w:spacing w:before="0" w:after="200"/>
        <w:ind w:left="1134"/>
      </w:pPr>
      <w:r>
        <w:t xml:space="preserve">Select </w:t>
      </w:r>
      <w:r w:rsidRPr="69146C7D">
        <w:rPr>
          <w:b/>
          <w:bCs/>
        </w:rPr>
        <w:t>Workflow &gt; System &gt; Organise Desks</w:t>
      </w:r>
      <w:r>
        <w:t>.</w:t>
      </w:r>
    </w:p>
    <w:p w14:paraId="1DD2A8E5" w14:textId="77777777" w:rsidR="00E34917" w:rsidRDefault="00E34917" w:rsidP="00E34917">
      <w:pPr>
        <w:numPr>
          <w:ilvl w:val="0"/>
          <w:numId w:val="26"/>
        </w:numPr>
        <w:spacing w:before="0" w:after="200"/>
        <w:ind w:left="567"/>
      </w:pPr>
      <w:r>
        <w:t>The Desktop Designer opens.</w:t>
      </w:r>
    </w:p>
    <w:p w14:paraId="35A618BB" w14:textId="77777777" w:rsidR="00E34917" w:rsidRDefault="00E34917" w:rsidP="00E34917">
      <w:pPr>
        <w:pStyle w:val="Compact"/>
        <w:numPr>
          <w:ilvl w:val="0"/>
          <w:numId w:val="29"/>
        </w:numPr>
        <w:ind w:left="567" w:firstLine="0"/>
      </w:pPr>
      <w:r>
        <w:t xml:space="preserve">In the Toolbox section, drag and drop the </w:t>
      </w:r>
      <w:r w:rsidRPr="69146C7D">
        <w:rPr>
          <w:b/>
          <w:bCs/>
        </w:rPr>
        <w:t>Qlik Sense</w:t>
      </w:r>
      <w:r>
        <w:t xml:space="preserve"> item into the Layout section.</w:t>
      </w:r>
    </w:p>
    <w:p w14:paraId="316C5689" w14:textId="738B84F6" w:rsidR="00E34917" w:rsidRDefault="00E34917" w:rsidP="00E34917">
      <w:pPr>
        <w:numPr>
          <w:ilvl w:val="0"/>
          <w:numId w:val="26"/>
        </w:numPr>
        <w:spacing w:before="0" w:after="200"/>
        <w:ind w:left="567" w:firstLine="0"/>
      </w:pPr>
      <w:r>
        <w:t xml:space="preserve">In the Properties section, select a Qlik Sense </w:t>
      </w:r>
      <w:r w:rsidRPr="00E34917">
        <w:rPr>
          <w:i/>
          <w:iCs/>
        </w:rPr>
        <w:t>application</w:t>
      </w:r>
      <w:r>
        <w:t xml:space="preserve"> from the </w:t>
      </w:r>
      <w:r w:rsidRPr="00E34917">
        <w:rPr>
          <w:b/>
          <w:bCs/>
        </w:rPr>
        <w:t>Application</w:t>
      </w:r>
      <w:r>
        <w:t xml:space="preserve"> dropdown list. In Qlik Sense, </w:t>
      </w:r>
      <w:hyperlink r:id="rId21">
        <w:r w:rsidRPr="69146C7D">
          <w:rPr>
            <w:rStyle w:val="Hyperlink"/>
          </w:rPr>
          <w:t>applications</w:t>
        </w:r>
      </w:hyperlink>
      <w:r>
        <w:t xml:space="preserve"> are collections of data that you can use to visualise information in your report.</w:t>
      </w:r>
    </w:p>
    <w:p w14:paraId="24408396" w14:textId="77777777" w:rsidR="00E34917" w:rsidRDefault="00E34917" w:rsidP="00E34917">
      <w:pPr>
        <w:numPr>
          <w:ilvl w:val="0"/>
          <w:numId w:val="29"/>
        </w:numPr>
        <w:spacing w:before="0" w:after="200"/>
        <w:ind w:left="567" w:firstLine="0"/>
      </w:pPr>
      <w:r>
        <w:t xml:space="preserve">In the Properties section, select a </w:t>
      </w:r>
      <w:r w:rsidRPr="69146C7D">
        <w:rPr>
          <w:i/>
          <w:iCs/>
        </w:rPr>
        <w:t>sheet</w:t>
      </w:r>
      <w:r>
        <w:t xml:space="preserve"> within the application.</w:t>
      </w:r>
    </w:p>
    <w:p w14:paraId="5A04E5B6" w14:textId="77777777" w:rsidR="00E34917" w:rsidRDefault="00E34917" w:rsidP="00E34917">
      <w:pPr>
        <w:numPr>
          <w:ilvl w:val="0"/>
          <w:numId w:val="26"/>
        </w:numPr>
        <w:spacing w:before="0" w:after="200"/>
        <w:ind w:left="567" w:firstLine="0"/>
      </w:pPr>
      <w:hyperlink r:id="rId22">
        <w:r w:rsidRPr="69146C7D">
          <w:rPr>
            <w:rStyle w:val="Hyperlink"/>
          </w:rPr>
          <w:t>Sheets</w:t>
        </w:r>
      </w:hyperlink>
      <w:r>
        <w:t xml:space="preserve"> contain different types of information — for example, charts or tables — that applications use to visualise data.</w:t>
      </w:r>
    </w:p>
    <w:p w14:paraId="08ED5741" w14:textId="77777777" w:rsidR="00E34917" w:rsidRDefault="00E34917" w:rsidP="00E34917">
      <w:pPr>
        <w:numPr>
          <w:ilvl w:val="0"/>
          <w:numId w:val="29"/>
        </w:numPr>
        <w:spacing w:before="0" w:after="200"/>
        <w:ind w:left="567" w:firstLine="0"/>
      </w:pPr>
      <w:r>
        <w:t>In the Properties section, select a theme for the application.</w:t>
      </w:r>
    </w:p>
    <w:p w14:paraId="14390DD1" w14:textId="77777777" w:rsidR="00E34917" w:rsidRDefault="00E34917" w:rsidP="00E34917">
      <w:pPr>
        <w:numPr>
          <w:ilvl w:val="0"/>
          <w:numId w:val="26"/>
        </w:numPr>
        <w:spacing w:before="0" w:after="200"/>
        <w:ind w:left="567" w:firstLine="0"/>
      </w:pPr>
      <w:r>
        <w:t>The theme controls the look and feel of the application in the Workflow Desk. If you don't select a theme, Greentree uses the stock Qlik Sense theme.</w:t>
      </w:r>
    </w:p>
    <w:p w14:paraId="6BD3BD0D" w14:textId="77777777" w:rsidR="00E34917" w:rsidRDefault="00E34917" w:rsidP="00E34917">
      <w:pPr>
        <w:numPr>
          <w:ilvl w:val="0"/>
          <w:numId w:val="26"/>
        </w:numPr>
        <w:spacing w:before="0" w:after="200"/>
        <w:ind w:left="567" w:firstLine="0"/>
      </w:pPr>
      <w:r>
        <w:t xml:space="preserve">You can learn more about </w:t>
      </w:r>
      <w:hyperlink r:id="rId23">
        <w:r w:rsidRPr="69146C7D">
          <w:rPr>
            <w:rStyle w:val="Hyperlink"/>
          </w:rPr>
          <w:t>creating custom themes</w:t>
        </w:r>
      </w:hyperlink>
      <w:r>
        <w:t xml:space="preserve"> in the Qlik Sense online help.</w:t>
      </w:r>
    </w:p>
    <w:p w14:paraId="3508896B" w14:textId="77777777" w:rsidR="00E34917" w:rsidRDefault="00E34917" w:rsidP="00E34917">
      <w:pPr>
        <w:pStyle w:val="Compact"/>
        <w:numPr>
          <w:ilvl w:val="0"/>
          <w:numId w:val="29"/>
        </w:numPr>
        <w:ind w:left="567" w:firstLine="0"/>
      </w:pPr>
      <w:r>
        <w:t>Other options that you can set in the Properties section include:</w:t>
      </w:r>
    </w:p>
    <w:p w14:paraId="238CA4B7" w14:textId="77777777" w:rsidR="00E34917" w:rsidRDefault="00E34917" w:rsidP="00E34917">
      <w:pPr>
        <w:pStyle w:val="Compact"/>
        <w:numPr>
          <w:ilvl w:val="0"/>
          <w:numId w:val="31"/>
        </w:numPr>
      </w:pPr>
      <w:r w:rsidRPr="69146C7D">
        <w:rPr>
          <w:b/>
          <w:bCs/>
        </w:rPr>
        <w:t>Disable Selection</w:t>
      </w:r>
      <w:r>
        <w:t xml:space="preserve"> - Prevents users from selecting elements on a sheet.</w:t>
      </w:r>
    </w:p>
    <w:p w14:paraId="6597C7F6" w14:textId="77777777" w:rsidR="00E34917" w:rsidRDefault="00E34917" w:rsidP="00E34917">
      <w:pPr>
        <w:pStyle w:val="Compact"/>
        <w:numPr>
          <w:ilvl w:val="0"/>
          <w:numId w:val="31"/>
        </w:numPr>
      </w:pPr>
      <w:r w:rsidRPr="69146C7D">
        <w:rPr>
          <w:b/>
          <w:bCs/>
        </w:rPr>
        <w:t>Disable Interaction</w:t>
      </w:r>
      <w:r>
        <w:t xml:space="preserve"> - Prevents users from drilling down into an item on a sheet.</w:t>
      </w:r>
    </w:p>
    <w:p w14:paraId="0ADF0D26" w14:textId="77777777" w:rsidR="00E34917" w:rsidRDefault="00E34917" w:rsidP="00E34917">
      <w:pPr>
        <w:pStyle w:val="Compact"/>
        <w:numPr>
          <w:ilvl w:val="0"/>
          <w:numId w:val="31"/>
        </w:numPr>
      </w:pPr>
      <w:r w:rsidRPr="69146C7D">
        <w:rPr>
          <w:b/>
          <w:bCs/>
        </w:rPr>
        <w:t>Clear Selection on Load</w:t>
      </w:r>
      <w:r>
        <w:t xml:space="preserve"> - If a user was in another Greentree session, the Desk loads what the user was viewing in that session when they shut down and restart Greentree, or when they refreshed the view.</w:t>
      </w:r>
    </w:p>
    <w:p w14:paraId="2A082A0C" w14:textId="77777777" w:rsidR="00E34917" w:rsidRDefault="00E34917" w:rsidP="00E34917">
      <w:pPr>
        <w:pStyle w:val="Compact"/>
        <w:numPr>
          <w:ilvl w:val="0"/>
          <w:numId w:val="31"/>
        </w:numPr>
      </w:pPr>
      <w:r w:rsidRPr="69146C7D">
        <w:rPr>
          <w:b/>
          <w:bCs/>
        </w:rPr>
        <w:t>Show edit in hub</w:t>
      </w:r>
      <w:r>
        <w:t xml:space="preserve"> - Displays an icon on the toolbar of the Qlik Sense Desk. Click the icon to open sheets in the Qlik Sense hub to edit and refine those sheets.</w:t>
      </w:r>
    </w:p>
    <w:p w14:paraId="1641CD87" w14:textId="77777777" w:rsidR="00E34917" w:rsidRDefault="00E34917" w:rsidP="00E34917">
      <w:pPr>
        <w:numPr>
          <w:ilvl w:val="0"/>
          <w:numId w:val="29"/>
        </w:numPr>
        <w:spacing w:before="0" w:after="200"/>
        <w:ind w:left="567" w:firstLine="0"/>
      </w:pPr>
      <w:r>
        <w:t xml:space="preserve">If you want to add more sheets to the application, double click the </w:t>
      </w:r>
      <w:r w:rsidRPr="69146C7D">
        <w:rPr>
          <w:b/>
          <w:bCs/>
        </w:rPr>
        <w:t>Set up Qlik Sense</w:t>
      </w:r>
      <w:r>
        <w:t xml:space="preserve"> option.</w:t>
      </w:r>
    </w:p>
    <w:p w14:paraId="75766C3C" w14:textId="77777777" w:rsidR="00E34917" w:rsidRDefault="00E34917" w:rsidP="00E34917">
      <w:pPr>
        <w:numPr>
          <w:ilvl w:val="0"/>
          <w:numId w:val="26"/>
        </w:numPr>
        <w:spacing w:before="0" w:after="200"/>
        <w:ind w:left="567" w:firstLine="0"/>
      </w:pPr>
      <w:r>
        <w:t>The Qlik Sense Definition form opens. Use the form to add other sheets to your view and set parameters like the Desk's theme and whether to enable or disable selections or drill down.</w:t>
      </w:r>
    </w:p>
    <w:p w14:paraId="5B2342D7" w14:textId="77777777" w:rsidR="00E34917" w:rsidRDefault="00E34917" w:rsidP="00E34917">
      <w:pPr>
        <w:pStyle w:val="Figure"/>
        <w:numPr>
          <w:ilvl w:val="0"/>
          <w:numId w:val="26"/>
        </w:numPr>
        <w:ind w:left="567" w:firstLine="0"/>
      </w:pPr>
      <w:r>
        <w:rPr>
          <w:noProof/>
        </w:rPr>
        <w:lastRenderedPageBreak/>
        <w:drawing>
          <wp:inline distT="0" distB="0" distL="0" distR="0" wp14:anchorId="2C9F4E98" wp14:editId="7696EA18">
            <wp:extent cx="5096341" cy="1688123"/>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lik-definition.png"/>
                    <pic:cNvPicPr>
                      <a:picLocks noChangeAspect="1" noChangeArrowheads="1"/>
                    </pic:cNvPicPr>
                  </pic:nvPicPr>
                  <pic:blipFill>
                    <a:blip r:embed="rId24"/>
                    <a:stretch>
                      <a:fillRect/>
                    </a:stretch>
                  </pic:blipFill>
                  <pic:spPr bwMode="auto">
                    <a:xfrm>
                      <a:off x="0" y="0"/>
                      <a:ext cx="5096341" cy="1688123"/>
                    </a:xfrm>
                    <a:prstGeom prst="rect">
                      <a:avLst/>
                    </a:prstGeom>
                    <a:noFill/>
                    <a:ln w="9525">
                      <a:noFill/>
                      <a:headEnd/>
                      <a:tailEnd/>
                    </a:ln>
                  </pic:spPr>
                </pic:pic>
              </a:graphicData>
            </a:graphic>
          </wp:inline>
        </w:drawing>
      </w:r>
    </w:p>
    <w:p w14:paraId="72C8147C" w14:textId="77777777" w:rsidR="00E34917" w:rsidRDefault="00E34917" w:rsidP="00E34917">
      <w:pPr>
        <w:numPr>
          <w:ilvl w:val="0"/>
          <w:numId w:val="29"/>
        </w:numPr>
        <w:spacing w:before="0" w:after="200"/>
        <w:ind w:left="993"/>
      </w:pPr>
      <w:r>
        <w:t>Save and then open the Qlik Sense Desk.</w:t>
      </w:r>
    </w:p>
    <w:p w14:paraId="00C6C5D9" w14:textId="77777777" w:rsidR="00E34917" w:rsidRDefault="00E34917" w:rsidP="00E34917">
      <w:pPr>
        <w:numPr>
          <w:ilvl w:val="0"/>
          <w:numId w:val="26"/>
        </w:numPr>
        <w:spacing w:before="0" w:after="200"/>
        <w:ind w:left="993"/>
      </w:pPr>
      <w:r>
        <w:t>Here's an example of a portion of a Qlik Sense Desk:</w:t>
      </w:r>
    </w:p>
    <w:p w14:paraId="64A0BF6A" w14:textId="77777777" w:rsidR="00E34917" w:rsidRDefault="00E34917" w:rsidP="00E34917">
      <w:pPr>
        <w:pStyle w:val="Figure"/>
        <w:numPr>
          <w:ilvl w:val="0"/>
          <w:numId w:val="26"/>
        </w:numPr>
      </w:pPr>
      <w:r>
        <w:rPr>
          <w:noProof/>
        </w:rPr>
        <w:drawing>
          <wp:inline distT="0" distB="0" distL="0" distR="0" wp14:anchorId="169F827F" wp14:editId="005E0BA5">
            <wp:extent cx="5727700" cy="1352499"/>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lik-example.png"/>
                    <pic:cNvPicPr>
                      <a:picLocks noChangeAspect="1" noChangeArrowheads="1"/>
                    </pic:cNvPicPr>
                  </pic:nvPicPr>
                  <pic:blipFill>
                    <a:blip r:embed="rId25"/>
                    <a:stretch>
                      <a:fillRect/>
                    </a:stretch>
                  </pic:blipFill>
                  <pic:spPr bwMode="auto">
                    <a:xfrm>
                      <a:off x="0" y="0"/>
                      <a:ext cx="5727700" cy="1352499"/>
                    </a:xfrm>
                    <a:prstGeom prst="rect">
                      <a:avLst/>
                    </a:prstGeom>
                    <a:noFill/>
                    <a:ln w="9525">
                      <a:noFill/>
                      <a:headEnd/>
                      <a:tailEnd/>
                    </a:ln>
                  </pic:spPr>
                </pic:pic>
              </a:graphicData>
            </a:graphic>
          </wp:inline>
        </w:drawing>
      </w:r>
    </w:p>
    <w:p w14:paraId="05DC3E72" w14:textId="77777777" w:rsidR="00E34917" w:rsidRDefault="00E34917" w:rsidP="00E34917">
      <w:pPr>
        <w:pStyle w:val="FirstParagraph"/>
        <w:ind w:left="567"/>
      </w:pPr>
      <w:r>
        <w:t xml:space="preserve">You can drill down on sheets in your application using dropdown list at the top right of the Qlik Sense Desk. You can also click the </w:t>
      </w:r>
      <w:r w:rsidRPr="69146C7D">
        <w:rPr>
          <w:b/>
          <w:bCs/>
        </w:rPr>
        <w:t>Edit in hub</w:t>
      </w:r>
      <w:r>
        <w:t xml:space="preserve"> icon to open the sheet in the Qlik Sense hub.</w:t>
      </w:r>
    </w:p>
    <w:p w14:paraId="6D5460CC" w14:textId="77777777" w:rsidR="00E34917" w:rsidRDefault="00E34917" w:rsidP="00E34917">
      <w:pPr>
        <w:pStyle w:val="Figure"/>
        <w:ind w:left="567"/>
      </w:pPr>
      <w:r>
        <w:rPr>
          <w:noProof/>
        </w:rPr>
        <w:drawing>
          <wp:inline distT="0" distB="0" distL="0" distR="0" wp14:anchorId="32F173B0" wp14:editId="73EFE9FF">
            <wp:extent cx="5300962" cy="511552"/>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lik-top-bar.png"/>
                    <pic:cNvPicPr>
                      <a:picLocks noChangeAspect="1" noChangeArrowheads="1"/>
                    </pic:cNvPicPr>
                  </pic:nvPicPr>
                  <pic:blipFill>
                    <a:blip r:embed="rId26"/>
                    <a:stretch>
                      <a:fillRect/>
                    </a:stretch>
                  </pic:blipFill>
                  <pic:spPr bwMode="auto">
                    <a:xfrm>
                      <a:off x="0" y="0"/>
                      <a:ext cx="5300962" cy="511552"/>
                    </a:xfrm>
                    <a:prstGeom prst="rect">
                      <a:avLst/>
                    </a:prstGeom>
                    <a:noFill/>
                    <a:ln w="9525">
                      <a:noFill/>
                      <a:headEnd/>
                      <a:tailEnd/>
                    </a:ln>
                  </pic:spPr>
                </pic:pic>
              </a:graphicData>
            </a:graphic>
          </wp:inline>
        </w:drawing>
      </w:r>
    </w:p>
    <w:p w14:paraId="59125397" w14:textId="77777777" w:rsidR="00E34917" w:rsidRDefault="00E34917" w:rsidP="00E34917">
      <w:pPr>
        <w:pStyle w:val="FirstParagraph"/>
        <w:keepNext/>
        <w:ind w:left="567"/>
      </w:pPr>
      <w:r>
        <w:t>You can learn more about using Qlik Sense:</w:t>
      </w:r>
    </w:p>
    <w:p w14:paraId="2F1DADD6" w14:textId="77777777" w:rsidR="00E34917" w:rsidRDefault="00E34917" w:rsidP="00E34917">
      <w:pPr>
        <w:pStyle w:val="Compact"/>
        <w:numPr>
          <w:ilvl w:val="0"/>
          <w:numId w:val="27"/>
        </w:numPr>
        <w:ind w:left="993"/>
      </w:pPr>
      <w:r>
        <w:t xml:space="preserve">In the </w:t>
      </w:r>
      <w:hyperlink r:id="rId27">
        <w:r w:rsidRPr="69146C7D">
          <w:rPr>
            <w:rStyle w:val="Hyperlink"/>
          </w:rPr>
          <w:t>Qlik Sense Online Help</w:t>
        </w:r>
      </w:hyperlink>
      <w:r>
        <w:t>.</w:t>
      </w:r>
    </w:p>
    <w:p w14:paraId="20A2A663" w14:textId="77777777" w:rsidR="00E34917" w:rsidRDefault="00E34917" w:rsidP="00E34917">
      <w:pPr>
        <w:pStyle w:val="Compact"/>
        <w:numPr>
          <w:ilvl w:val="0"/>
          <w:numId w:val="27"/>
        </w:numPr>
        <w:ind w:left="993"/>
      </w:pPr>
      <w:r>
        <w:t xml:space="preserve">At the </w:t>
      </w:r>
      <w:hyperlink r:id="rId28">
        <w:r w:rsidRPr="69146C7D">
          <w:rPr>
            <w:rStyle w:val="Hyperlink"/>
          </w:rPr>
          <w:t>Qlik Sense Knowledge Base</w:t>
        </w:r>
      </w:hyperlink>
      <w:r>
        <w:t>.</w:t>
      </w:r>
    </w:p>
    <w:p w14:paraId="3058FCA4" w14:textId="77777777" w:rsidR="00E34917" w:rsidRDefault="00E34917">
      <w:pPr>
        <w:spacing w:before="0" w:after="0"/>
        <w:ind w:left="0"/>
        <w:rPr>
          <w:rFonts w:ascii="Neutro MYOB Medium" w:hAnsi="Neutro MYOB Medium" w:cs="Stone Sans"/>
          <w:bCs/>
          <w:color w:val="8241AA"/>
          <w:sz w:val="48"/>
          <w:szCs w:val="48"/>
          <w:lang w:val="en-AU"/>
        </w:rPr>
      </w:pPr>
      <w:bookmarkStart w:id="19" w:name="teamsec"/>
      <w:bookmarkEnd w:id="19"/>
      <w:r>
        <w:br w:type="page"/>
      </w:r>
    </w:p>
    <w:p w14:paraId="1AD5EDEC" w14:textId="234BDC8E" w:rsidR="00E34917" w:rsidRDefault="00E34917" w:rsidP="00E34917">
      <w:pPr>
        <w:pStyle w:val="Heading2"/>
        <w:ind w:left="851"/>
      </w:pPr>
      <w:bookmarkStart w:id="20" w:name="_Toc46232607"/>
      <w:r>
        <w:lastRenderedPageBreak/>
        <w:t>Changes to Team Security Attributes</w:t>
      </w:r>
      <w:bookmarkEnd w:id="20"/>
    </w:p>
    <w:p w14:paraId="1C1534ED" w14:textId="77777777" w:rsidR="00E34917" w:rsidRDefault="00E34917" w:rsidP="00E34917">
      <w:pPr>
        <w:pStyle w:val="FirstParagraph"/>
        <w:ind w:left="567"/>
      </w:pPr>
      <w:r>
        <w:t>We've improved the way in which Greentree handles the security attributes of teams, and how the attributes apply to users who are members of those teams.</w:t>
      </w:r>
    </w:p>
    <w:p w14:paraId="749C38CB" w14:textId="77777777" w:rsidR="00E34917" w:rsidRDefault="00E34917" w:rsidP="00E34917">
      <w:pPr>
        <w:pStyle w:val="BodyText"/>
        <w:ind w:left="567"/>
      </w:pPr>
      <w:r>
        <w:t xml:space="preserve">Users must now have a </w:t>
      </w:r>
      <w:r w:rsidRPr="69146C7D">
        <w:rPr>
          <w:i/>
          <w:iCs/>
        </w:rPr>
        <w:t>primary</w:t>
      </w:r>
      <w:r>
        <w:t xml:space="preserve"> team set on the User Maintenance form under </w:t>
      </w:r>
      <w:r w:rsidRPr="69146C7D">
        <w:rPr>
          <w:b/>
          <w:bCs/>
        </w:rPr>
        <w:t>System &gt; System Setup</w:t>
      </w:r>
      <w:r>
        <w:t xml:space="preserve">. The primary team contains a user's </w:t>
      </w:r>
      <w:hyperlink r:id="rId29">
        <w:r w:rsidRPr="69146C7D">
          <w:rPr>
            <w:rStyle w:val="Hyperlink"/>
          </w:rPr>
          <w:t>main security attribute settings</w:t>
        </w:r>
      </w:hyperlink>
      <w:r>
        <w:t>.</w:t>
      </w:r>
    </w:p>
    <w:p w14:paraId="283BB5A4" w14:textId="77777777" w:rsidR="00E34917" w:rsidRDefault="00E34917" w:rsidP="00E34917">
      <w:pPr>
        <w:pStyle w:val="Figure"/>
        <w:ind w:left="567"/>
      </w:pPr>
      <w:r>
        <w:rPr>
          <w:noProof/>
        </w:rPr>
        <w:drawing>
          <wp:inline distT="0" distB="0" distL="0" distR="0" wp14:anchorId="55F0D9AA" wp14:editId="30115163">
            <wp:extent cx="4162425" cy="2352675"/>
            <wp:effectExtent l="0" t="0" r="9525" b="9525"/>
            <wp:docPr id="5" name="Picture"/>
            <wp:cNvGraphicFramePr/>
            <a:graphic xmlns:a="http://schemas.openxmlformats.org/drawingml/2006/main">
              <a:graphicData uri="http://schemas.openxmlformats.org/drawingml/2006/picture">
                <pic:pic xmlns:pic="http://schemas.openxmlformats.org/drawingml/2006/picture">
                  <pic:nvPicPr>
                    <pic:cNvPr id="0" name="Picture" descr="../Images/gt-desktop-primary-team.png"/>
                    <pic:cNvPicPr>
                      <a:picLocks noChangeAspect="1" noChangeArrowheads="1"/>
                    </pic:cNvPicPr>
                  </pic:nvPicPr>
                  <pic:blipFill>
                    <a:blip r:embed="rId30"/>
                    <a:stretch>
                      <a:fillRect/>
                    </a:stretch>
                  </pic:blipFill>
                  <pic:spPr bwMode="auto">
                    <a:xfrm>
                      <a:off x="0" y="0"/>
                      <a:ext cx="4162762" cy="2352865"/>
                    </a:xfrm>
                    <a:prstGeom prst="rect">
                      <a:avLst/>
                    </a:prstGeom>
                    <a:noFill/>
                    <a:ln w="9525">
                      <a:noFill/>
                      <a:headEnd/>
                      <a:tailEnd/>
                    </a:ln>
                  </pic:spPr>
                </pic:pic>
              </a:graphicData>
            </a:graphic>
          </wp:inline>
        </w:drawing>
      </w:r>
    </w:p>
    <w:p w14:paraId="15B40BA7" w14:textId="77777777" w:rsidR="00E34917" w:rsidRDefault="00E34917" w:rsidP="00E34917">
      <w:pPr>
        <w:pStyle w:val="FirstParagraph"/>
        <w:ind w:left="567"/>
      </w:pPr>
      <w:r>
        <w:t xml:space="preserve">If you don't set a primary team, an error message displays when you click </w:t>
      </w:r>
      <w:r w:rsidRPr="69146C7D">
        <w:rPr>
          <w:b/>
          <w:bCs/>
        </w:rPr>
        <w:t>Save</w:t>
      </w:r>
      <w:r>
        <w:t xml:space="preserve"> on the User Maintenance form.</w:t>
      </w:r>
    </w:p>
    <w:p w14:paraId="372FCC8D" w14:textId="126B50A7" w:rsidR="00E34917" w:rsidRDefault="00E34917" w:rsidP="00E34917">
      <w:pPr>
        <w:pStyle w:val="Note"/>
        <w:ind w:left="1276"/>
      </w:pPr>
      <w:r>
        <w:t xml:space="preserve">If the user is assigned to only </w:t>
      </w:r>
      <w:r w:rsidRPr="69146C7D">
        <w:rPr>
          <w:i/>
          <w:iCs/>
        </w:rPr>
        <w:t>one</w:t>
      </w:r>
      <w:r>
        <w:t xml:space="preserve"> team, Greentree selects the </w:t>
      </w:r>
      <w:r w:rsidRPr="69146C7D">
        <w:rPr>
          <w:b/>
          <w:bCs/>
        </w:rPr>
        <w:t>Primary</w:t>
      </w:r>
      <w:r>
        <w:t xml:space="preserve"> option for that team when you click </w:t>
      </w:r>
      <w:r w:rsidRPr="69146C7D">
        <w:rPr>
          <w:b/>
          <w:bCs/>
        </w:rPr>
        <w:t>Save</w:t>
      </w:r>
      <w:r>
        <w:t>.</w:t>
      </w:r>
    </w:p>
    <w:p w14:paraId="3FC7109E" w14:textId="77777777" w:rsidR="00E34917" w:rsidRDefault="00E34917" w:rsidP="00E34917">
      <w:pPr>
        <w:pStyle w:val="BodyText"/>
        <w:ind w:left="567"/>
      </w:pPr>
      <w:r>
        <w:t>When you apply the 2018.3.0 pack to an earlier release of Greentree Desktop:</w:t>
      </w:r>
    </w:p>
    <w:p w14:paraId="52D55D9B" w14:textId="77777777" w:rsidR="00E34917" w:rsidRDefault="00E34917" w:rsidP="00E34917">
      <w:pPr>
        <w:pStyle w:val="Compact"/>
        <w:numPr>
          <w:ilvl w:val="0"/>
          <w:numId w:val="27"/>
        </w:numPr>
        <w:ind w:left="993"/>
      </w:pPr>
      <w:r>
        <w:t xml:space="preserve">If the user is assigned to multiple teams, the </w:t>
      </w:r>
      <w:r w:rsidRPr="69146C7D">
        <w:rPr>
          <w:i/>
          <w:iCs/>
        </w:rPr>
        <w:t>last</w:t>
      </w:r>
      <w:r>
        <w:t xml:space="preserve"> team in the list is set as the primary.</w:t>
      </w:r>
    </w:p>
    <w:p w14:paraId="5E74E5D6" w14:textId="77777777" w:rsidR="00E34917" w:rsidRDefault="00E34917" w:rsidP="00E34917">
      <w:pPr>
        <w:pStyle w:val="Compact"/>
        <w:numPr>
          <w:ilvl w:val="0"/>
          <w:numId w:val="27"/>
        </w:numPr>
        <w:ind w:left="993"/>
      </w:pPr>
      <w:r>
        <w:t>For a user assigned to only one team, Greentree sets that team as the primary.</w:t>
      </w:r>
    </w:p>
    <w:p w14:paraId="45A23D7A" w14:textId="1B906B23" w:rsidR="00E34917" w:rsidRDefault="00E34917" w:rsidP="00E34917">
      <w:pPr>
        <w:pStyle w:val="Note"/>
        <w:ind w:left="1276" w:hanging="709"/>
      </w:pPr>
      <w:r>
        <w:t>When updating a user's primary team, Greentree only looks at a user's preferences in the current company for these modules: Purchase Orders, Sales Orders, Inventory, Job Costing, and Bill of Materials.</w:t>
      </w:r>
    </w:p>
    <w:p w14:paraId="7C1D3906" w14:textId="77777777" w:rsidR="00E34917" w:rsidRDefault="00E34917" w:rsidP="00E34917">
      <w:pPr>
        <w:pStyle w:val="Heading3"/>
        <w:ind w:left="567"/>
      </w:pPr>
      <w:bookmarkStart w:id="21" w:name="adding-or-removing-access-to-a-module-or"/>
      <w:bookmarkStart w:id="22" w:name="_Toc46232608"/>
      <w:bookmarkEnd w:id="21"/>
      <w:r>
        <w:t>Adding or Removing Access to a Module or Function</w:t>
      </w:r>
      <w:bookmarkEnd w:id="22"/>
    </w:p>
    <w:p w14:paraId="082194DE" w14:textId="77777777" w:rsidR="00E34917" w:rsidRDefault="00E34917" w:rsidP="00E34917">
      <w:pPr>
        <w:pStyle w:val="FirstParagraph"/>
        <w:ind w:left="567"/>
      </w:pPr>
      <w:r>
        <w:t xml:space="preserve">Many of the access permissions granted to members of teams in Greentree Desktop work on the </w:t>
      </w:r>
      <w:r w:rsidRPr="69146C7D">
        <w:rPr>
          <w:i/>
          <w:iCs/>
        </w:rPr>
        <w:t>least restrictive</w:t>
      </w:r>
      <w:r>
        <w:t xml:space="preserve"> principle. A user inherits the highest level of permissions from the team that they're assigned to.</w:t>
      </w:r>
    </w:p>
    <w:p w14:paraId="0B58BB87" w14:textId="77777777" w:rsidR="00E34917" w:rsidRDefault="00E34917" w:rsidP="00E34917">
      <w:pPr>
        <w:pStyle w:val="BodyText"/>
        <w:ind w:left="567"/>
      </w:pPr>
      <w:r>
        <w:t>If access to a module or function is:</w:t>
      </w:r>
    </w:p>
    <w:p w14:paraId="661EEA54" w14:textId="77777777" w:rsidR="00E34917" w:rsidRDefault="00E34917" w:rsidP="00E34917">
      <w:pPr>
        <w:pStyle w:val="Compact"/>
        <w:numPr>
          <w:ilvl w:val="0"/>
          <w:numId w:val="27"/>
        </w:numPr>
        <w:ind w:left="993"/>
      </w:pPr>
      <w:r w:rsidRPr="69146C7D">
        <w:rPr>
          <w:i/>
          <w:iCs/>
        </w:rPr>
        <w:t>Removed</w:t>
      </w:r>
      <w:r>
        <w:t xml:space="preserve"> from a team, the user only loses that access if the other teams they're assigned to do not have access to that module or function.</w:t>
      </w:r>
    </w:p>
    <w:p w14:paraId="4B1092E0" w14:textId="77777777" w:rsidR="00E34917" w:rsidRDefault="00E34917" w:rsidP="00E34917">
      <w:pPr>
        <w:pStyle w:val="Compact"/>
        <w:numPr>
          <w:ilvl w:val="0"/>
          <w:numId w:val="27"/>
        </w:numPr>
        <w:ind w:left="993"/>
      </w:pPr>
      <w:r w:rsidRPr="69146C7D">
        <w:rPr>
          <w:i/>
          <w:iCs/>
        </w:rPr>
        <w:t>Granted</w:t>
      </w:r>
      <w:r>
        <w:t xml:space="preserve"> to a team, the user gets access to that module or function regardless of the security applied to their other teams.</w:t>
      </w:r>
    </w:p>
    <w:p w14:paraId="55DF669A" w14:textId="0937846D" w:rsidR="00E34917" w:rsidRDefault="00E34917" w:rsidP="00E34917">
      <w:pPr>
        <w:pStyle w:val="TableNote"/>
        <w:ind w:left="1134" w:hanging="567"/>
      </w:pPr>
      <w:r>
        <w:t>You can read more about security attributes and how they’re applied in the Greentree Desktop online help.</w:t>
      </w:r>
    </w:p>
    <w:p w14:paraId="767009DE" w14:textId="77777777" w:rsidR="00E34917" w:rsidRDefault="00E34917" w:rsidP="00E34917">
      <w:pPr>
        <w:pStyle w:val="Heading2"/>
        <w:ind w:left="851"/>
      </w:pPr>
      <w:bookmarkStart w:id="23" w:name="ui"/>
      <w:bookmarkStart w:id="24" w:name="_Toc46232609"/>
      <w:bookmarkEnd w:id="23"/>
      <w:r>
        <w:lastRenderedPageBreak/>
        <w:t>Performance Improvements</w:t>
      </w:r>
      <w:bookmarkEnd w:id="24"/>
    </w:p>
    <w:p w14:paraId="43378761" w14:textId="77777777" w:rsidR="00E34917" w:rsidRDefault="00E34917" w:rsidP="00E34917">
      <w:pPr>
        <w:pStyle w:val="FirstParagraph"/>
        <w:ind w:left="567"/>
      </w:pPr>
      <w:r>
        <w:t>We've improved the performance of Greentree Desktop in these areas:</w:t>
      </w:r>
    </w:p>
    <w:p w14:paraId="44516649" w14:textId="77777777" w:rsidR="00E34917" w:rsidRDefault="00E34917" w:rsidP="00E34917">
      <w:pPr>
        <w:pStyle w:val="Compact"/>
        <w:numPr>
          <w:ilvl w:val="0"/>
          <w:numId w:val="27"/>
        </w:numPr>
        <w:ind w:left="993"/>
      </w:pPr>
      <w:hyperlink w:anchor="bars">
        <w:r w:rsidRPr="69146C7D">
          <w:rPr>
            <w:rStyle w:val="Hyperlink"/>
          </w:rPr>
          <w:t>Progress Bars</w:t>
        </w:r>
      </w:hyperlink>
    </w:p>
    <w:p w14:paraId="01CDD464" w14:textId="77777777" w:rsidR="00E34917" w:rsidRDefault="00E34917" w:rsidP="00E34917">
      <w:pPr>
        <w:pStyle w:val="Compact"/>
        <w:numPr>
          <w:ilvl w:val="0"/>
          <w:numId w:val="27"/>
        </w:numPr>
        <w:ind w:left="993"/>
      </w:pPr>
      <w:hyperlink w:anchor="planner">
        <w:r w:rsidRPr="69146C7D">
          <w:rPr>
            <w:rStyle w:val="Hyperlink"/>
          </w:rPr>
          <w:t>Service Planner</w:t>
        </w:r>
      </w:hyperlink>
    </w:p>
    <w:p w14:paraId="5059B9F3" w14:textId="77777777" w:rsidR="00E34917" w:rsidRDefault="00E34917" w:rsidP="00E34917">
      <w:pPr>
        <w:pStyle w:val="Heading3"/>
        <w:ind w:left="567"/>
      </w:pPr>
      <w:bookmarkStart w:id="25" w:name="bars"/>
      <w:bookmarkStart w:id="26" w:name="_Toc46232610"/>
      <w:bookmarkEnd w:id="25"/>
      <w:r>
        <w:t>Progress Bars</w:t>
      </w:r>
      <w:bookmarkEnd w:id="26"/>
    </w:p>
    <w:p w14:paraId="1D3F6CE8" w14:textId="77777777" w:rsidR="00E34917" w:rsidRDefault="00E34917" w:rsidP="00E34917">
      <w:pPr>
        <w:pStyle w:val="FirstParagraph"/>
        <w:ind w:left="567"/>
      </w:pPr>
      <w:r>
        <w:t>We've changed the way progress bars work in Greentree Desktop. The progress bars no longer refresh as frequently. On slower connections, operations take less to time to perform while giving you enough time to cancel an operation if needed.</w:t>
      </w:r>
    </w:p>
    <w:p w14:paraId="2541D1A8" w14:textId="77777777" w:rsidR="00E34917" w:rsidRDefault="00E34917" w:rsidP="00E34917">
      <w:pPr>
        <w:pStyle w:val="BodyText"/>
        <w:ind w:left="567"/>
      </w:pPr>
      <w:r>
        <w:t>On most forms, the progress bar now appears at the top of the form (above the form's toolbar, if there is one), rather than as a separate dialog box that hovers over the form.</w:t>
      </w:r>
    </w:p>
    <w:p w14:paraId="6914D78C" w14:textId="77777777" w:rsidR="00E34917" w:rsidRDefault="00E34917" w:rsidP="00E34917">
      <w:pPr>
        <w:pStyle w:val="Figure"/>
        <w:ind w:left="567"/>
      </w:pPr>
      <w:r>
        <w:rPr>
          <w:noProof/>
        </w:rPr>
        <w:drawing>
          <wp:inline distT="0" distB="0" distL="0" distR="0" wp14:anchorId="5CB3A498" wp14:editId="72BE3CB3">
            <wp:extent cx="4305300" cy="203835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Images/gt-desktop-progress-bar.png"/>
                    <pic:cNvPicPr>
                      <a:picLocks noChangeAspect="1" noChangeArrowheads="1"/>
                    </pic:cNvPicPr>
                  </pic:nvPicPr>
                  <pic:blipFill>
                    <a:blip r:embed="rId31"/>
                    <a:stretch>
                      <a:fillRect/>
                    </a:stretch>
                  </pic:blipFill>
                  <pic:spPr bwMode="auto">
                    <a:xfrm>
                      <a:off x="0" y="0"/>
                      <a:ext cx="4305396" cy="2038395"/>
                    </a:xfrm>
                    <a:prstGeom prst="rect">
                      <a:avLst/>
                    </a:prstGeom>
                    <a:noFill/>
                    <a:ln w="9525">
                      <a:noFill/>
                      <a:headEnd/>
                      <a:tailEnd/>
                    </a:ln>
                  </pic:spPr>
                </pic:pic>
              </a:graphicData>
            </a:graphic>
          </wp:inline>
        </w:drawing>
      </w:r>
    </w:p>
    <w:p w14:paraId="5F9DF491" w14:textId="77777777" w:rsidR="00E34917" w:rsidRDefault="00E34917" w:rsidP="00E34917">
      <w:pPr>
        <w:pStyle w:val="Heading3"/>
        <w:ind w:left="567"/>
      </w:pPr>
      <w:bookmarkStart w:id="27" w:name="planner"/>
      <w:bookmarkStart w:id="28" w:name="_Toc46232611"/>
      <w:bookmarkEnd w:id="27"/>
      <w:r>
        <w:t>Service Planner</w:t>
      </w:r>
      <w:bookmarkEnd w:id="28"/>
    </w:p>
    <w:p w14:paraId="49BC4F4B" w14:textId="77777777" w:rsidR="00E34917" w:rsidRDefault="00E34917" w:rsidP="00E34917">
      <w:pPr>
        <w:pStyle w:val="FirstParagraph"/>
        <w:ind w:left="567"/>
      </w:pPr>
      <w:r>
        <w:t>We've increased the speed at which the Service Planner loads pages — even pages containing large amounts of data. This change has removed network latency as a performance issue for the Service Planner.</w:t>
      </w:r>
    </w:p>
    <w:p w14:paraId="583ACA4F" w14:textId="77777777" w:rsidR="00E34917" w:rsidRDefault="00E34917" w:rsidP="00E34917">
      <w:pPr>
        <w:pStyle w:val="BodyText"/>
        <w:ind w:left="567"/>
      </w:pPr>
      <w:r>
        <w:t>In MYOB's tests, the time to load Service Planner pages went from 17.5 seconds to four seconds, and 205 seconds to 3.4 seconds. Your results may vary, but you should notice improved performance.</w:t>
      </w:r>
    </w:p>
    <w:p w14:paraId="646BB889" w14:textId="77777777" w:rsidR="00BE7B4C" w:rsidRDefault="00BE7B4C">
      <w:pPr>
        <w:spacing w:before="0" w:after="0"/>
        <w:ind w:left="0"/>
        <w:rPr>
          <w:rFonts w:ascii="Neutro MYOB Medium" w:hAnsi="Neutro MYOB Medium" w:cs="Stone Sans"/>
          <w:bCs/>
          <w:color w:val="8241AA"/>
          <w:sz w:val="48"/>
          <w:szCs w:val="48"/>
          <w:lang w:val="en-AU"/>
        </w:rPr>
      </w:pPr>
      <w:bookmarkStart w:id="29" w:name="maintenance"/>
      <w:bookmarkEnd w:id="29"/>
      <w:r>
        <w:br w:type="page"/>
      </w:r>
    </w:p>
    <w:p w14:paraId="62701F46" w14:textId="3982A7CA" w:rsidR="00E34917" w:rsidRPr="00E34917" w:rsidRDefault="00E34917" w:rsidP="00BE7B4C">
      <w:pPr>
        <w:pStyle w:val="Heading2"/>
      </w:pPr>
      <w:bookmarkStart w:id="30" w:name="_Toc46232612"/>
      <w:r w:rsidRPr="00E34917">
        <w:lastRenderedPageBreak/>
        <w:t>Changes to Interface Maintenance Form</w:t>
      </w:r>
      <w:bookmarkEnd w:id="30"/>
    </w:p>
    <w:p w14:paraId="026CB3D3" w14:textId="77777777" w:rsidR="00E34917" w:rsidRDefault="00E34917" w:rsidP="00E34917">
      <w:pPr>
        <w:pStyle w:val="FirstParagraph"/>
        <w:ind w:left="567"/>
      </w:pPr>
      <w:r>
        <w:t>We've changed the Interface Maintenance form to make it easier to edit the interface formats used to import and export bank data.</w:t>
      </w:r>
    </w:p>
    <w:p w14:paraId="1F3B4EA4" w14:textId="77777777" w:rsidR="00E34917" w:rsidRDefault="00E34917" w:rsidP="00E34917">
      <w:pPr>
        <w:pStyle w:val="BodyText"/>
        <w:ind w:left="567"/>
      </w:pPr>
      <w:r>
        <w:t xml:space="preserve">Access the form by selecting either </w:t>
      </w:r>
      <w:r w:rsidRPr="69146C7D">
        <w:rPr>
          <w:b/>
          <w:bCs/>
        </w:rPr>
        <w:t>System &gt; System Setup &gt; Interface Maintenance</w:t>
      </w:r>
      <w:r>
        <w:t xml:space="preserve"> or </w:t>
      </w:r>
      <w:r w:rsidRPr="69146C7D">
        <w:rPr>
          <w:b/>
          <w:bCs/>
        </w:rPr>
        <w:t>Workflow &gt; System &gt; Data Import Manager &gt; Interface Maintenance</w:t>
      </w:r>
      <w:r>
        <w:t xml:space="preserve">. On the Interface Selection form, choose the interface you want to modify, and then click </w:t>
      </w:r>
      <w:r w:rsidRPr="69146C7D">
        <w:rPr>
          <w:b/>
          <w:bCs/>
        </w:rPr>
        <w:t>Edit</w:t>
      </w:r>
      <w:r>
        <w:t>.</w:t>
      </w:r>
    </w:p>
    <w:p w14:paraId="4144AAC5" w14:textId="77777777" w:rsidR="00E34917" w:rsidRDefault="00E34917" w:rsidP="00E34917">
      <w:pPr>
        <w:pStyle w:val="Figure"/>
        <w:ind w:left="567"/>
      </w:pPr>
      <w:r>
        <w:rPr>
          <w:noProof/>
        </w:rPr>
        <w:drawing>
          <wp:inline distT="0" distB="0" distL="0" distR="0" wp14:anchorId="072B84EF" wp14:editId="2B977980">
            <wp:extent cx="3514725" cy="408622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ages/gt-desktop-interface-maint.png"/>
                    <pic:cNvPicPr>
                      <a:picLocks noChangeAspect="1" noChangeArrowheads="1"/>
                    </pic:cNvPicPr>
                  </pic:nvPicPr>
                  <pic:blipFill>
                    <a:blip r:embed="rId32"/>
                    <a:stretch>
                      <a:fillRect/>
                    </a:stretch>
                  </pic:blipFill>
                  <pic:spPr bwMode="auto">
                    <a:xfrm>
                      <a:off x="0" y="0"/>
                      <a:ext cx="3515222" cy="4086803"/>
                    </a:xfrm>
                    <a:prstGeom prst="rect">
                      <a:avLst/>
                    </a:prstGeom>
                    <a:noFill/>
                    <a:ln w="9525">
                      <a:noFill/>
                      <a:headEnd/>
                      <a:tailEnd/>
                    </a:ln>
                  </pic:spPr>
                </pic:pic>
              </a:graphicData>
            </a:graphic>
          </wp:inline>
        </w:drawing>
      </w:r>
    </w:p>
    <w:p w14:paraId="02581319" w14:textId="77777777" w:rsidR="00E34917" w:rsidRDefault="00E34917" w:rsidP="00E34917">
      <w:pPr>
        <w:pStyle w:val="FirstParagraph"/>
        <w:ind w:left="567"/>
      </w:pPr>
      <w:r>
        <w:t>To:</w:t>
      </w:r>
    </w:p>
    <w:p w14:paraId="07E15D28" w14:textId="77777777" w:rsidR="00E34917" w:rsidRDefault="00E34917" w:rsidP="00E34917">
      <w:pPr>
        <w:numPr>
          <w:ilvl w:val="0"/>
          <w:numId w:val="27"/>
        </w:numPr>
        <w:spacing w:before="0" w:after="200"/>
        <w:ind w:left="993"/>
      </w:pPr>
      <w:r>
        <w:t xml:space="preserve">Change an item in the </w:t>
      </w:r>
      <w:r w:rsidRPr="69146C7D">
        <w:rPr>
          <w:b/>
          <w:bCs/>
        </w:rPr>
        <w:t>Value</w:t>
      </w:r>
      <w:r>
        <w:t xml:space="preserve"> column, either double click the item or select it and click the </w:t>
      </w:r>
      <w:r w:rsidRPr="69146C7D">
        <w:rPr>
          <w:b/>
          <w:bCs/>
        </w:rPr>
        <w:t>Select</w:t>
      </w:r>
      <w:r>
        <w:t xml:space="preserve"> button.</w:t>
      </w:r>
    </w:p>
    <w:p w14:paraId="6BBF8E6A" w14:textId="77777777" w:rsidR="00E34917" w:rsidRDefault="00E34917" w:rsidP="00E34917">
      <w:pPr>
        <w:numPr>
          <w:ilvl w:val="0"/>
          <w:numId w:val="26"/>
        </w:numPr>
        <w:spacing w:before="0" w:after="200"/>
        <w:ind w:left="993"/>
      </w:pPr>
      <w:r>
        <w:t xml:space="preserve">The System Fields form displays. Select a field and then click </w:t>
      </w:r>
      <w:r w:rsidRPr="69146C7D">
        <w:rPr>
          <w:b/>
          <w:bCs/>
        </w:rPr>
        <w:t>OK</w:t>
      </w:r>
      <w:r>
        <w:t>.</w:t>
      </w:r>
    </w:p>
    <w:p w14:paraId="2EC762E6" w14:textId="77777777" w:rsidR="00E34917" w:rsidRDefault="00E34917" w:rsidP="00E34917">
      <w:pPr>
        <w:numPr>
          <w:ilvl w:val="0"/>
          <w:numId w:val="27"/>
        </w:numPr>
        <w:spacing w:before="0" w:after="200"/>
        <w:ind w:left="993"/>
      </w:pPr>
      <w:r>
        <w:t xml:space="preserve">Change the format of a line, either double click in the </w:t>
      </w:r>
      <w:r w:rsidRPr="69146C7D">
        <w:rPr>
          <w:b/>
          <w:bCs/>
        </w:rPr>
        <w:t>Format</w:t>
      </w:r>
      <w:r>
        <w:t xml:space="preserve"> column or click in the column and then click the </w:t>
      </w:r>
      <w:r w:rsidRPr="69146C7D">
        <w:rPr>
          <w:b/>
          <w:bCs/>
        </w:rPr>
        <w:t>Format</w:t>
      </w:r>
      <w:r>
        <w:t xml:space="preserve"> button.</w:t>
      </w:r>
    </w:p>
    <w:p w14:paraId="3229D990" w14:textId="77777777" w:rsidR="00E34917" w:rsidRDefault="00E34917" w:rsidP="00E34917">
      <w:pPr>
        <w:numPr>
          <w:ilvl w:val="0"/>
          <w:numId w:val="26"/>
        </w:numPr>
        <w:spacing w:before="0" w:after="200"/>
        <w:ind w:left="993"/>
      </w:pPr>
      <w:r>
        <w:t xml:space="preserve">The Field Formats form displays. Select a new format for the line, and then click </w:t>
      </w:r>
      <w:r w:rsidRPr="69146C7D">
        <w:rPr>
          <w:b/>
          <w:bCs/>
        </w:rPr>
        <w:t>OK</w:t>
      </w:r>
      <w:r>
        <w:t>.</w:t>
      </w:r>
    </w:p>
    <w:p w14:paraId="0A8C3225" w14:textId="77777777" w:rsidR="00E34917" w:rsidRDefault="00E34917" w:rsidP="00E34917">
      <w:pPr>
        <w:pStyle w:val="Compact"/>
        <w:numPr>
          <w:ilvl w:val="0"/>
          <w:numId w:val="27"/>
        </w:numPr>
        <w:ind w:left="993"/>
      </w:pPr>
      <w:r>
        <w:t xml:space="preserve">Move a field, select the field and then click the </w:t>
      </w:r>
      <w:r w:rsidRPr="69146C7D">
        <w:rPr>
          <w:b/>
          <w:bCs/>
        </w:rPr>
        <w:t>Move Up</w:t>
      </w:r>
      <w:r>
        <w:t xml:space="preserve"> or </w:t>
      </w:r>
      <w:r w:rsidRPr="69146C7D">
        <w:rPr>
          <w:b/>
          <w:bCs/>
        </w:rPr>
        <w:t>Move Down</w:t>
      </w:r>
      <w:r>
        <w:t xml:space="preserve"> buttons.</w:t>
      </w:r>
    </w:p>
    <w:p w14:paraId="3F6C7E32" w14:textId="77777777" w:rsidR="00E34917" w:rsidRDefault="00E34917" w:rsidP="00E34917">
      <w:pPr>
        <w:numPr>
          <w:ilvl w:val="0"/>
          <w:numId w:val="27"/>
        </w:numPr>
        <w:spacing w:before="0" w:after="200"/>
        <w:ind w:left="993"/>
      </w:pPr>
      <w:r>
        <w:t xml:space="preserve">Delete a field in the interface file, select the field and then click the </w:t>
      </w:r>
      <w:r w:rsidRPr="69146C7D">
        <w:rPr>
          <w:b/>
          <w:bCs/>
        </w:rPr>
        <w:t>Delete field</w:t>
      </w:r>
      <w:r>
        <w:t xml:space="preserve"> button.</w:t>
      </w:r>
    </w:p>
    <w:p w14:paraId="0A029F39" w14:textId="77777777" w:rsidR="00BE7B4C" w:rsidRDefault="00BE7B4C">
      <w:pPr>
        <w:spacing w:before="0" w:after="0"/>
        <w:ind w:left="0"/>
        <w:rPr>
          <w:rFonts w:ascii="Neutro MYOB Medium" w:hAnsi="Neutro MYOB Medium" w:cs="Stone Sans"/>
          <w:bCs/>
          <w:i/>
          <w:iCs/>
          <w:color w:val="8241AA"/>
          <w:sz w:val="48"/>
          <w:szCs w:val="48"/>
          <w:lang w:val="en-AU"/>
        </w:rPr>
      </w:pPr>
      <w:bookmarkStart w:id="31" w:name="statement"/>
      <w:bookmarkEnd w:id="31"/>
      <w:r>
        <w:rPr>
          <w:i/>
          <w:iCs/>
        </w:rPr>
        <w:br w:type="page"/>
      </w:r>
    </w:p>
    <w:p w14:paraId="40322C51" w14:textId="11447329" w:rsidR="00E34917" w:rsidRDefault="00E34917" w:rsidP="00BE7B4C">
      <w:pPr>
        <w:pStyle w:val="Heading2"/>
        <w:ind w:left="851"/>
      </w:pPr>
      <w:bookmarkStart w:id="32" w:name="_Toc46232613"/>
      <w:r w:rsidRPr="69146C7D">
        <w:rPr>
          <w:i/>
          <w:iCs/>
        </w:rPr>
        <w:lastRenderedPageBreak/>
        <w:t>Statement provided</w:t>
      </w:r>
      <w:r>
        <w:t xml:space="preserve"> Option Available for Contractors</w:t>
      </w:r>
      <w:bookmarkEnd w:id="32"/>
    </w:p>
    <w:p w14:paraId="632C5688" w14:textId="636E7779" w:rsidR="00BE7B4C" w:rsidRDefault="00E34917" w:rsidP="00BE7B4C">
      <w:pPr>
        <w:pStyle w:val="FirstParagraph"/>
        <w:ind w:left="567"/>
      </w:pPr>
      <w:r>
        <w:t xml:space="preserve">On the </w:t>
      </w:r>
      <w:r w:rsidRPr="69146C7D">
        <w:rPr>
          <w:b/>
          <w:bCs/>
        </w:rPr>
        <w:t>Taxable Reporting</w:t>
      </w:r>
      <w:r>
        <w:t xml:space="preserve"> tab of the Supplier Maintenance form, the </w:t>
      </w:r>
      <w:r w:rsidRPr="69146C7D">
        <w:rPr>
          <w:b/>
          <w:bCs/>
        </w:rPr>
        <w:t>Statement provider</w:t>
      </w:r>
      <w:r>
        <w:t xml:space="preserve"> option is now available to contractors as well as to grant recipients. This option is for sites in Australia, and indicates that a contractor or a grant recipient doesn't need to quote an ABN number, and why.</w:t>
      </w:r>
    </w:p>
    <w:p w14:paraId="6B9CD9C6" w14:textId="77777777" w:rsidR="00E34917" w:rsidRDefault="00E34917" w:rsidP="00BE7B4C">
      <w:pPr>
        <w:pStyle w:val="BodyText"/>
        <w:ind w:left="567"/>
      </w:pPr>
      <w:r>
        <w:t xml:space="preserve">For more information, visit </w:t>
      </w:r>
      <w:hyperlink r:id="rId33">
        <w:r w:rsidRPr="69146C7D">
          <w:rPr>
            <w:rStyle w:val="Hyperlink"/>
          </w:rPr>
          <w:t>the ATO website</w:t>
        </w:r>
      </w:hyperlink>
      <w:r>
        <w:t>.</w:t>
      </w:r>
    </w:p>
    <w:p w14:paraId="7B5B7058" w14:textId="77777777" w:rsidR="00E34917" w:rsidRDefault="00E34917" w:rsidP="00BE7B4C">
      <w:pPr>
        <w:pStyle w:val="Heading2"/>
        <w:ind w:left="851"/>
      </w:pPr>
      <w:bookmarkStart w:id="33" w:name="backup"/>
      <w:bookmarkStart w:id="34" w:name="_Toc46232614"/>
      <w:bookmarkEnd w:id="33"/>
      <w:r>
        <w:t>Enhanced Backup Options on Task Scheduler Form</w:t>
      </w:r>
      <w:bookmarkEnd w:id="34"/>
    </w:p>
    <w:p w14:paraId="7DF1E410" w14:textId="77777777" w:rsidR="00E34917" w:rsidRDefault="00E34917" w:rsidP="00BE7B4C">
      <w:pPr>
        <w:pStyle w:val="FirstParagraph"/>
        <w:ind w:left="567"/>
      </w:pPr>
      <w:r>
        <w:t xml:space="preserve">We've changed one of the options for the </w:t>
      </w:r>
      <w:r w:rsidRPr="69146C7D">
        <w:rPr>
          <w:b/>
          <w:bCs/>
        </w:rPr>
        <w:t>Backup database online</w:t>
      </w:r>
      <w:r>
        <w:t xml:space="preserve"> task on the Task Scheduler form. The </w:t>
      </w:r>
      <w:r w:rsidRPr="69146C7D">
        <w:rPr>
          <w:b/>
          <w:bCs/>
        </w:rPr>
        <w:t>Backup bin directory (recommended)</w:t>
      </w:r>
      <w:r>
        <w:t xml:space="preserve"> option is now </w:t>
      </w:r>
      <w:r w:rsidRPr="69146C7D">
        <w:rPr>
          <w:b/>
          <w:bCs/>
        </w:rPr>
        <w:t>Back up binaries and web resources</w:t>
      </w:r>
      <w:r>
        <w:t>.</w:t>
      </w:r>
    </w:p>
    <w:p w14:paraId="43C74302" w14:textId="77777777" w:rsidR="00E34917" w:rsidRDefault="00E34917" w:rsidP="00BE7B4C">
      <w:pPr>
        <w:pStyle w:val="Figure"/>
        <w:ind w:left="567"/>
      </w:pPr>
      <w:r>
        <w:rPr>
          <w:noProof/>
        </w:rPr>
        <w:drawing>
          <wp:inline distT="0" distB="0" distL="0" distR="0" wp14:anchorId="6D1CF193" wp14:editId="0A6C7896">
            <wp:extent cx="3686175" cy="183832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ages/gt-desktop-backup.png"/>
                    <pic:cNvPicPr>
                      <a:picLocks noChangeAspect="1" noChangeArrowheads="1"/>
                    </pic:cNvPicPr>
                  </pic:nvPicPr>
                  <pic:blipFill>
                    <a:blip r:embed="rId34"/>
                    <a:stretch>
                      <a:fillRect/>
                    </a:stretch>
                  </pic:blipFill>
                  <pic:spPr bwMode="auto">
                    <a:xfrm>
                      <a:off x="0" y="0"/>
                      <a:ext cx="3686998" cy="1838735"/>
                    </a:xfrm>
                    <a:prstGeom prst="rect">
                      <a:avLst/>
                    </a:prstGeom>
                    <a:noFill/>
                    <a:ln w="9525">
                      <a:noFill/>
                      <a:headEnd/>
                      <a:tailEnd/>
                    </a:ln>
                  </pic:spPr>
                </pic:pic>
              </a:graphicData>
            </a:graphic>
          </wp:inline>
        </w:drawing>
      </w:r>
    </w:p>
    <w:p w14:paraId="4E626DAE" w14:textId="77777777" w:rsidR="00E34917" w:rsidRDefault="00E34917" w:rsidP="00BE7B4C">
      <w:pPr>
        <w:pStyle w:val="FirstParagraph"/>
        <w:ind w:left="567"/>
      </w:pPr>
      <w:r>
        <w:t>This option backs up the Greentree system directory and these folders:</w:t>
      </w:r>
    </w:p>
    <w:p w14:paraId="311690C4" w14:textId="77777777" w:rsidR="00E34917" w:rsidRDefault="00E34917" w:rsidP="00BE7B4C">
      <w:pPr>
        <w:pStyle w:val="Compact"/>
        <w:numPr>
          <w:ilvl w:val="0"/>
          <w:numId w:val="27"/>
        </w:numPr>
        <w:ind w:left="993"/>
      </w:pPr>
      <w:r>
        <w:t>\bin</w:t>
      </w:r>
    </w:p>
    <w:p w14:paraId="49BC7FE7" w14:textId="77777777" w:rsidR="00E34917" w:rsidRDefault="00E34917" w:rsidP="00BE7B4C">
      <w:pPr>
        <w:pStyle w:val="Compact"/>
        <w:numPr>
          <w:ilvl w:val="0"/>
          <w:numId w:val="27"/>
        </w:numPr>
        <w:ind w:left="993"/>
      </w:pPr>
      <w:r>
        <w:t>\bin64</w:t>
      </w:r>
    </w:p>
    <w:p w14:paraId="5F838C72" w14:textId="19A787E6" w:rsidR="00E34917" w:rsidRDefault="00E34917" w:rsidP="00BE7B4C">
      <w:pPr>
        <w:pStyle w:val="Compact"/>
        <w:numPr>
          <w:ilvl w:val="0"/>
          <w:numId w:val="27"/>
        </w:numPr>
        <w:ind w:left="993"/>
      </w:pPr>
      <w:r>
        <w:t>\</w:t>
      </w:r>
      <w:proofErr w:type="spellStart"/>
      <w:r>
        <w:t>webroot</w:t>
      </w:r>
      <w:proofErr w:type="spellEnd"/>
    </w:p>
    <w:p w14:paraId="4B153D26" w14:textId="77777777" w:rsidR="00BE7B4C" w:rsidRDefault="00BE7B4C" w:rsidP="00BE7B4C">
      <w:pPr>
        <w:pStyle w:val="Compact"/>
        <w:ind w:left="993"/>
      </w:pPr>
    </w:p>
    <w:p w14:paraId="54AFCED9" w14:textId="0E0E2642" w:rsidR="00E34917" w:rsidRDefault="00E34917" w:rsidP="00BE7B4C">
      <w:pPr>
        <w:pStyle w:val="TableNote"/>
      </w:pPr>
      <w:r>
        <w:t xml:space="preserve">If you set the </w:t>
      </w:r>
      <w:r w:rsidRPr="69146C7D">
        <w:rPr>
          <w:i/>
          <w:iCs/>
        </w:rPr>
        <w:t>\</w:t>
      </w:r>
      <w:proofErr w:type="spellStart"/>
      <w:r w:rsidRPr="69146C7D">
        <w:rPr>
          <w:i/>
          <w:iCs/>
        </w:rPr>
        <w:t>webroot</w:t>
      </w:r>
      <w:proofErr w:type="spellEnd"/>
      <w:r>
        <w:t xml:space="preserve"> folder as a directory to include in the backup by clicking the </w:t>
      </w:r>
      <w:r w:rsidRPr="69146C7D">
        <w:rPr>
          <w:b/>
          <w:bCs/>
        </w:rPr>
        <w:t>Select additional directories</w:t>
      </w:r>
      <w:r>
        <w:t xml:space="preserve"> button, Greentree </w:t>
      </w:r>
      <w:r w:rsidRPr="69146C7D">
        <w:rPr>
          <w:i/>
          <w:iCs/>
        </w:rPr>
        <w:t>does not</w:t>
      </w:r>
      <w:r>
        <w:t xml:space="preserve"> back up that folder twice.</w:t>
      </w:r>
    </w:p>
    <w:p w14:paraId="6EC49E70" w14:textId="77777777" w:rsidR="00BE7B4C" w:rsidRDefault="00BE7B4C">
      <w:pPr>
        <w:spacing w:before="0" w:after="0"/>
        <w:ind w:left="0"/>
        <w:rPr>
          <w:rFonts w:ascii="Neutro MYOB Medium" w:hAnsi="Neutro MYOB Medium" w:cs="Stone Sans"/>
          <w:bCs/>
          <w:color w:val="8241AA"/>
          <w:sz w:val="48"/>
          <w:szCs w:val="48"/>
          <w:lang w:val="en-AU"/>
        </w:rPr>
      </w:pPr>
      <w:bookmarkStart w:id="35" w:name="fonts"/>
      <w:bookmarkEnd w:id="35"/>
      <w:r>
        <w:br w:type="page"/>
      </w:r>
    </w:p>
    <w:p w14:paraId="779F4813" w14:textId="5E36937A" w:rsidR="00E34917" w:rsidRDefault="00E34917" w:rsidP="00BE7B4C">
      <w:pPr>
        <w:pStyle w:val="Heading2"/>
        <w:ind w:left="851"/>
      </w:pPr>
      <w:bookmarkStart w:id="36" w:name="_Toc46232615"/>
      <w:r>
        <w:lastRenderedPageBreak/>
        <w:t>User Interface Improvements</w:t>
      </w:r>
      <w:bookmarkEnd w:id="36"/>
    </w:p>
    <w:p w14:paraId="349CFAA9" w14:textId="77777777" w:rsidR="00E34917" w:rsidRDefault="00E34917" w:rsidP="00BE7B4C">
      <w:pPr>
        <w:pStyle w:val="FirstParagraph"/>
        <w:ind w:left="567"/>
      </w:pPr>
      <w:r>
        <w:t>We've made the fonts on the forms in Greentree Desktop easier to read. The text of labels and on buttons and tabs is bolder and clearer.</w:t>
      </w:r>
    </w:p>
    <w:p w14:paraId="054905AE" w14:textId="77777777" w:rsidR="00E34917" w:rsidRDefault="00E34917" w:rsidP="00BE7B4C">
      <w:pPr>
        <w:pStyle w:val="BodyText"/>
        <w:ind w:left="567"/>
      </w:pPr>
      <w:r>
        <w:t>Here's an older form:</w:t>
      </w:r>
    </w:p>
    <w:p w14:paraId="5D6BA758" w14:textId="77777777" w:rsidR="00E34917" w:rsidRDefault="00E34917" w:rsidP="00BE7B4C">
      <w:pPr>
        <w:pStyle w:val="Figure"/>
        <w:ind w:left="567"/>
      </w:pPr>
      <w:r>
        <w:rPr>
          <w:noProof/>
        </w:rPr>
        <w:drawing>
          <wp:inline distT="0" distB="0" distL="0" distR="0" wp14:anchorId="7E5AC06B" wp14:editId="7A94D655">
            <wp:extent cx="4457700" cy="149542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Images/gt-desktop-old-fonts.png"/>
                    <pic:cNvPicPr>
                      <a:picLocks noChangeAspect="1" noChangeArrowheads="1"/>
                    </pic:cNvPicPr>
                  </pic:nvPicPr>
                  <pic:blipFill>
                    <a:blip r:embed="rId35"/>
                    <a:stretch>
                      <a:fillRect/>
                    </a:stretch>
                  </pic:blipFill>
                  <pic:spPr bwMode="auto">
                    <a:xfrm>
                      <a:off x="0" y="0"/>
                      <a:ext cx="4457876" cy="1495484"/>
                    </a:xfrm>
                    <a:prstGeom prst="rect">
                      <a:avLst/>
                    </a:prstGeom>
                    <a:noFill/>
                    <a:ln w="9525">
                      <a:noFill/>
                      <a:headEnd/>
                      <a:tailEnd/>
                    </a:ln>
                  </pic:spPr>
                </pic:pic>
              </a:graphicData>
            </a:graphic>
          </wp:inline>
        </w:drawing>
      </w:r>
    </w:p>
    <w:p w14:paraId="05FFD196" w14:textId="77777777" w:rsidR="00E34917" w:rsidRDefault="00E34917" w:rsidP="00BE7B4C">
      <w:pPr>
        <w:pStyle w:val="FirstParagraph"/>
        <w:ind w:left="567"/>
      </w:pPr>
      <w:r>
        <w:t>Here's a form with the new fonts:</w:t>
      </w:r>
    </w:p>
    <w:p w14:paraId="42180936" w14:textId="77777777" w:rsidR="00E34917" w:rsidRDefault="00E34917" w:rsidP="00BE7B4C">
      <w:pPr>
        <w:pStyle w:val="Figure"/>
        <w:ind w:left="567"/>
      </w:pPr>
      <w:r>
        <w:rPr>
          <w:noProof/>
        </w:rPr>
        <w:drawing>
          <wp:inline distT="0" distB="0" distL="0" distR="0" wp14:anchorId="3AEF78AF" wp14:editId="0FF5AA84">
            <wp:extent cx="4552950" cy="159067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Images/gt-desktop-new-fonts.png"/>
                    <pic:cNvPicPr>
                      <a:picLocks noChangeAspect="1" noChangeArrowheads="1"/>
                    </pic:cNvPicPr>
                  </pic:nvPicPr>
                  <pic:blipFill>
                    <a:blip r:embed="rId36"/>
                    <a:stretch>
                      <a:fillRect/>
                    </a:stretch>
                  </pic:blipFill>
                  <pic:spPr bwMode="auto">
                    <a:xfrm>
                      <a:off x="0" y="0"/>
                      <a:ext cx="4553964" cy="1591029"/>
                    </a:xfrm>
                    <a:prstGeom prst="rect">
                      <a:avLst/>
                    </a:prstGeom>
                    <a:noFill/>
                    <a:ln w="9525">
                      <a:noFill/>
                      <a:headEnd/>
                      <a:tailEnd/>
                    </a:ln>
                  </pic:spPr>
                </pic:pic>
              </a:graphicData>
            </a:graphic>
          </wp:inline>
        </w:drawing>
      </w:r>
    </w:p>
    <w:p w14:paraId="2F262C6B" w14:textId="77777777" w:rsidR="00E34917" w:rsidRDefault="00E34917" w:rsidP="00BE7B4C">
      <w:pPr>
        <w:pStyle w:val="FirstParagraph"/>
        <w:ind w:left="567"/>
      </w:pPr>
      <w:r>
        <w:t>We've also made these changes to the user interface:</w:t>
      </w:r>
    </w:p>
    <w:p w14:paraId="6682C981" w14:textId="77777777" w:rsidR="00E34917" w:rsidRDefault="00E34917" w:rsidP="00BE7B4C">
      <w:pPr>
        <w:numPr>
          <w:ilvl w:val="0"/>
          <w:numId w:val="27"/>
        </w:numPr>
        <w:spacing w:before="0" w:after="200"/>
        <w:ind w:left="993"/>
      </w:pPr>
      <w:r>
        <w:t>Required fields that are missing information and fields that contain invalid data are now highlighted in yellow, not red:</w:t>
      </w:r>
    </w:p>
    <w:p w14:paraId="42794263" w14:textId="77777777" w:rsidR="00E34917" w:rsidRDefault="00E34917" w:rsidP="00BE7B4C">
      <w:pPr>
        <w:pStyle w:val="Compact"/>
        <w:numPr>
          <w:ilvl w:val="0"/>
          <w:numId w:val="26"/>
        </w:numPr>
        <w:ind w:left="993"/>
      </w:pPr>
      <w:r>
        <w:rPr>
          <w:noProof/>
        </w:rPr>
        <w:drawing>
          <wp:inline distT="0" distB="0" distL="0" distR="0" wp14:anchorId="5E9B54BB" wp14:editId="080E6E6B">
            <wp:extent cx="5153025" cy="11715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ages/gt-desktop-missing-data-highlight.png"/>
                    <pic:cNvPicPr>
                      <a:picLocks noChangeAspect="1" noChangeArrowheads="1"/>
                    </pic:cNvPicPr>
                  </pic:nvPicPr>
                  <pic:blipFill>
                    <a:blip r:embed="rId37"/>
                    <a:stretch>
                      <a:fillRect/>
                    </a:stretch>
                  </pic:blipFill>
                  <pic:spPr bwMode="auto">
                    <a:xfrm>
                      <a:off x="0" y="0"/>
                      <a:ext cx="5154011" cy="1171799"/>
                    </a:xfrm>
                    <a:prstGeom prst="rect">
                      <a:avLst/>
                    </a:prstGeom>
                    <a:noFill/>
                    <a:ln w="9525">
                      <a:noFill/>
                      <a:headEnd/>
                      <a:tailEnd/>
                    </a:ln>
                  </pic:spPr>
                </pic:pic>
              </a:graphicData>
            </a:graphic>
          </wp:inline>
        </w:drawing>
      </w:r>
    </w:p>
    <w:p w14:paraId="40F4B8B7" w14:textId="77777777" w:rsidR="00E34917" w:rsidRDefault="00E34917" w:rsidP="00BE7B4C">
      <w:pPr>
        <w:numPr>
          <w:ilvl w:val="0"/>
          <w:numId w:val="27"/>
        </w:numPr>
        <w:spacing w:before="0" w:after="200"/>
        <w:ind w:left="993"/>
      </w:pPr>
      <w:r>
        <w:t>Read-only items are now a lighter blue.</w:t>
      </w:r>
    </w:p>
    <w:p w14:paraId="075F1BC7" w14:textId="77777777" w:rsidR="00E34917" w:rsidRDefault="00E34917" w:rsidP="00BE7B4C">
      <w:pPr>
        <w:pStyle w:val="Compact"/>
        <w:numPr>
          <w:ilvl w:val="0"/>
          <w:numId w:val="26"/>
        </w:numPr>
        <w:ind w:left="993"/>
      </w:pPr>
      <w:r>
        <w:rPr>
          <w:noProof/>
        </w:rPr>
        <w:drawing>
          <wp:inline distT="0" distB="0" distL="0" distR="0" wp14:anchorId="2CAEA23D" wp14:editId="4292CDCF">
            <wp:extent cx="5124450" cy="12287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Images/gt-desktop-read-only.png"/>
                    <pic:cNvPicPr>
                      <a:picLocks noChangeAspect="1" noChangeArrowheads="1"/>
                    </pic:cNvPicPr>
                  </pic:nvPicPr>
                  <pic:blipFill>
                    <a:blip r:embed="rId38"/>
                    <a:stretch>
                      <a:fillRect/>
                    </a:stretch>
                  </pic:blipFill>
                  <pic:spPr bwMode="auto">
                    <a:xfrm>
                      <a:off x="0" y="0"/>
                      <a:ext cx="5126306" cy="1229170"/>
                    </a:xfrm>
                    <a:prstGeom prst="rect">
                      <a:avLst/>
                    </a:prstGeom>
                    <a:noFill/>
                    <a:ln w="9525">
                      <a:noFill/>
                      <a:headEnd/>
                      <a:tailEnd/>
                    </a:ln>
                  </pic:spPr>
                </pic:pic>
              </a:graphicData>
            </a:graphic>
          </wp:inline>
        </w:drawing>
      </w:r>
    </w:p>
    <w:p w14:paraId="66B945DB" w14:textId="77777777" w:rsidR="00E34917" w:rsidRDefault="00E34917" w:rsidP="00BE7B4C">
      <w:pPr>
        <w:numPr>
          <w:ilvl w:val="0"/>
          <w:numId w:val="27"/>
        </w:numPr>
        <w:spacing w:before="0" w:after="200"/>
        <w:ind w:left="993"/>
      </w:pPr>
      <w:r>
        <w:lastRenderedPageBreak/>
        <w:t xml:space="preserve">We've put the </w:t>
      </w:r>
      <w:r w:rsidRPr="69146C7D">
        <w:rPr>
          <w:b/>
          <w:bCs/>
        </w:rPr>
        <w:t>Default colours</w:t>
      </w:r>
      <w:r>
        <w:t xml:space="preserve"> settings back on the </w:t>
      </w:r>
      <w:r w:rsidRPr="69146C7D">
        <w:rPr>
          <w:b/>
          <w:bCs/>
        </w:rPr>
        <w:t>General</w:t>
      </w:r>
      <w:r>
        <w:t xml:space="preserve"> tab of the </w:t>
      </w:r>
      <w:r w:rsidRPr="69146C7D">
        <w:rPr>
          <w:b/>
          <w:bCs/>
        </w:rPr>
        <w:t>File &gt; Preferences</w:t>
      </w:r>
      <w:r>
        <w:t xml:space="preserve"> form. You can now change the default colours for displaying read-only and error information in Greentree Desktop.</w:t>
      </w:r>
    </w:p>
    <w:p w14:paraId="6CB9D4F9" w14:textId="77777777" w:rsidR="00E34917" w:rsidRDefault="00E34917" w:rsidP="00BE7B4C">
      <w:pPr>
        <w:pStyle w:val="Figure"/>
        <w:numPr>
          <w:ilvl w:val="0"/>
          <w:numId w:val="26"/>
        </w:numPr>
        <w:ind w:left="993"/>
      </w:pPr>
      <w:r>
        <w:rPr>
          <w:noProof/>
        </w:rPr>
        <w:drawing>
          <wp:inline distT="0" distB="0" distL="0" distR="0" wp14:anchorId="14EE5B43" wp14:editId="172FE3BF">
            <wp:extent cx="1943899" cy="492369"/>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ages/gt-desktop-default-colours.png"/>
                    <pic:cNvPicPr>
                      <a:picLocks noChangeAspect="1" noChangeArrowheads="1"/>
                    </pic:cNvPicPr>
                  </pic:nvPicPr>
                  <pic:blipFill>
                    <a:blip r:embed="rId39"/>
                    <a:stretch>
                      <a:fillRect/>
                    </a:stretch>
                  </pic:blipFill>
                  <pic:spPr bwMode="auto">
                    <a:xfrm>
                      <a:off x="0" y="0"/>
                      <a:ext cx="1943899" cy="492369"/>
                    </a:xfrm>
                    <a:prstGeom prst="rect">
                      <a:avLst/>
                    </a:prstGeom>
                    <a:noFill/>
                    <a:ln w="9525">
                      <a:noFill/>
                      <a:headEnd/>
                      <a:tailEnd/>
                    </a:ln>
                  </pic:spPr>
                </pic:pic>
              </a:graphicData>
            </a:graphic>
          </wp:inline>
        </w:drawing>
      </w:r>
    </w:p>
    <w:p w14:paraId="47E63793" w14:textId="77777777" w:rsidR="00BE7B4C" w:rsidRDefault="00BE7B4C">
      <w:pPr>
        <w:spacing w:before="0" w:after="0"/>
        <w:ind w:left="0"/>
        <w:rPr>
          <w:rFonts w:ascii="Neutro MYOB Medium" w:hAnsi="Neutro MYOB Medium" w:cs="Stone Sans"/>
          <w:bCs/>
          <w:color w:val="8241AA"/>
          <w:sz w:val="48"/>
          <w:szCs w:val="48"/>
          <w:lang w:val="en-AU"/>
        </w:rPr>
      </w:pPr>
      <w:bookmarkStart w:id="37" w:name="enhancements---greentree-browser"/>
      <w:bookmarkEnd w:id="37"/>
      <w:r>
        <w:br w:type="page"/>
      </w:r>
    </w:p>
    <w:p w14:paraId="302C3C4F" w14:textId="5306D355" w:rsidR="00E34917" w:rsidRDefault="00E34917" w:rsidP="00BE7B4C">
      <w:pPr>
        <w:pStyle w:val="Heading1"/>
        <w:ind w:left="851"/>
      </w:pPr>
      <w:bookmarkStart w:id="38" w:name="_Toc46232616"/>
      <w:r>
        <w:lastRenderedPageBreak/>
        <w:t>Enhancements - Greentree Browser</w:t>
      </w:r>
      <w:bookmarkEnd w:id="38"/>
    </w:p>
    <w:p w14:paraId="2C127340" w14:textId="77777777" w:rsidR="00E34917" w:rsidRDefault="00E34917" w:rsidP="00BE7B4C">
      <w:pPr>
        <w:pStyle w:val="FirstParagraph"/>
        <w:ind w:left="567"/>
      </w:pPr>
      <w:r>
        <w:t>This release of Greentree Browser includes this enhancement:</w:t>
      </w:r>
    </w:p>
    <w:p w14:paraId="5ADC1BD7" w14:textId="267FB8B4" w:rsidR="00E34917" w:rsidRPr="00BE7B4C" w:rsidRDefault="00E34917" w:rsidP="00BE7B4C">
      <w:pPr>
        <w:pStyle w:val="Compact"/>
        <w:numPr>
          <w:ilvl w:val="0"/>
          <w:numId w:val="27"/>
        </w:numPr>
        <w:ind w:left="993"/>
        <w:rPr>
          <w:rStyle w:val="Hyperlink"/>
          <w:rFonts w:ascii="Calibri" w:hAnsi="Calibri"/>
          <w:color w:val="auto"/>
          <w:sz w:val="24"/>
          <w:u w:val="none"/>
        </w:rPr>
      </w:pPr>
      <w:hyperlink w:anchor="browserTS">
        <w:r w:rsidRPr="69146C7D">
          <w:rPr>
            <w:rStyle w:val="Hyperlink"/>
          </w:rPr>
          <w:t>New Columns Added to the Browser Timesheet Review Form</w:t>
        </w:r>
      </w:hyperlink>
    </w:p>
    <w:p w14:paraId="0CDDA9F6" w14:textId="7815B16F" w:rsidR="00BE7B4C" w:rsidRDefault="00BE7B4C" w:rsidP="00BE7B4C">
      <w:pPr>
        <w:pStyle w:val="Compact"/>
        <w:rPr>
          <w:rStyle w:val="Hyperlink"/>
        </w:rPr>
      </w:pPr>
    </w:p>
    <w:p w14:paraId="6E6CB91A" w14:textId="77777777" w:rsidR="00BE7B4C" w:rsidRDefault="00BE7B4C" w:rsidP="00BE7B4C">
      <w:pPr>
        <w:pStyle w:val="FirstParagraph"/>
        <w:ind w:left="567"/>
      </w:pPr>
    </w:p>
    <w:p w14:paraId="5659979F" w14:textId="5FCEFACF" w:rsidR="00BE7B4C" w:rsidRDefault="00BE7B4C" w:rsidP="00BE7B4C">
      <w:pPr>
        <w:pStyle w:val="Heading3"/>
        <w:ind w:left="567"/>
      </w:pPr>
      <w:bookmarkStart w:id="39" w:name="_Toc46232617"/>
      <w:r>
        <w:t>New Columns Added to the Browser Timesheet Review Form</w:t>
      </w:r>
      <w:bookmarkEnd w:id="39"/>
    </w:p>
    <w:p w14:paraId="66241181" w14:textId="1F2E82B8" w:rsidR="00BE7B4C" w:rsidRDefault="00BE7B4C" w:rsidP="00BE7B4C">
      <w:pPr>
        <w:pStyle w:val="FirstParagraph"/>
        <w:ind w:left="567"/>
      </w:pPr>
      <w:r>
        <w:t>We've added these columns to the Timesheet Review form in Greentree Browser:</w:t>
      </w:r>
    </w:p>
    <w:p w14:paraId="10C0636C" w14:textId="77777777" w:rsidR="00BE7B4C" w:rsidRDefault="00BE7B4C" w:rsidP="00BE7B4C">
      <w:pPr>
        <w:pStyle w:val="Compact"/>
        <w:numPr>
          <w:ilvl w:val="0"/>
          <w:numId w:val="27"/>
        </w:numPr>
        <w:ind w:left="993"/>
      </w:pPr>
      <w:r w:rsidRPr="69146C7D">
        <w:rPr>
          <w:b/>
          <w:bCs/>
        </w:rPr>
        <w:t>Job</w:t>
      </w:r>
      <w:r>
        <w:t xml:space="preserve"> - The code and description of the job on the timesheet line.</w:t>
      </w:r>
    </w:p>
    <w:p w14:paraId="3FB2ECBE" w14:textId="77777777" w:rsidR="00BE7B4C" w:rsidRDefault="00BE7B4C" w:rsidP="00BE7B4C">
      <w:pPr>
        <w:pStyle w:val="Compact"/>
        <w:numPr>
          <w:ilvl w:val="0"/>
          <w:numId w:val="27"/>
        </w:numPr>
        <w:ind w:left="993"/>
      </w:pPr>
      <w:r w:rsidRPr="69146C7D">
        <w:rPr>
          <w:b/>
          <w:bCs/>
        </w:rPr>
        <w:t>Activity</w:t>
      </w:r>
      <w:r>
        <w:t xml:space="preserve"> - The code and description of the activity associated with the job.</w:t>
      </w:r>
    </w:p>
    <w:p w14:paraId="4E310BF1" w14:textId="77777777" w:rsidR="00BE7B4C" w:rsidRDefault="00BE7B4C" w:rsidP="00BE7B4C">
      <w:pPr>
        <w:pStyle w:val="Compact"/>
        <w:numPr>
          <w:ilvl w:val="0"/>
          <w:numId w:val="27"/>
        </w:numPr>
        <w:ind w:left="993"/>
      </w:pPr>
      <w:r w:rsidRPr="69146C7D">
        <w:rPr>
          <w:b/>
          <w:bCs/>
        </w:rPr>
        <w:t>Work Centre</w:t>
      </w:r>
      <w:r>
        <w:t xml:space="preserve"> - The code and description of the work </w:t>
      </w:r>
      <w:proofErr w:type="spellStart"/>
      <w:r>
        <w:t>centre</w:t>
      </w:r>
      <w:proofErr w:type="spellEnd"/>
      <w:r>
        <w:t xml:space="preserve"> associated with the job.</w:t>
      </w:r>
    </w:p>
    <w:p w14:paraId="4AA3EB00" w14:textId="77777777" w:rsidR="00BE7B4C" w:rsidRDefault="00BE7B4C" w:rsidP="00BE7B4C">
      <w:pPr>
        <w:pStyle w:val="Figure"/>
        <w:ind w:left="567"/>
      </w:pPr>
      <w:r>
        <w:rPr>
          <w:noProof/>
        </w:rPr>
        <w:drawing>
          <wp:inline distT="0" distB="0" distL="0" distR="0" wp14:anchorId="4C45F602" wp14:editId="32FB8CBC">
            <wp:extent cx="5256201" cy="2340352"/>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Images/gt-browser-timesheet-review.png"/>
                    <pic:cNvPicPr>
                      <a:picLocks noChangeAspect="1" noChangeArrowheads="1"/>
                    </pic:cNvPicPr>
                  </pic:nvPicPr>
                  <pic:blipFill>
                    <a:blip r:embed="rId40"/>
                    <a:stretch>
                      <a:fillRect/>
                    </a:stretch>
                  </pic:blipFill>
                  <pic:spPr bwMode="auto">
                    <a:xfrm>
                      <a:off x="0" y="0"/>
                      <a:ext cx="5256201" cy="2340352"/>
                    </a:xfrm>
                    <a:prstGeom prst="rect">
                      <a:avLst/>
                    </a:prstGeom>
                    <a:noFill/>
                    <a:ln w="9525">
                      <a:noFill/>
                      <a:headEnd/>
                      <a:tailEnd/>
                    </a:ln>
                  </pic:spPr>
                </pic:pic>
              </a:graphicData>
            </a:graphic>
          </wp:inline>
        </w:drawing>
      </w:r>
    </w:p>
    <w:p w14:paraId="0D7B3FA9" w14:textId="77777777" w:rsidR="00BE7B4C" w:rsidRDefault="00BE7B4C" w:rsidP="00BE7B4C">
      <w:pPr>
        <w:pStyle w:val="FirstParagraph"/>
        <w:ind w:left="567"/>
      </w:pPr>
      <w:r>
        <w:t>The new columns add more detail to the form and make it easier for reviewers to check employee timesheets. Reviewers no longer need to drill down into individual timesheets to check information at line level.</w:t>
      </w:r>
    </w:p>
    <w:p w14:paraId="7344F4FE" w14:textId="77777777" w:rsidR="00BE7B4C" w:rsidRDefault="00BE7B4C" w:rsidP="00BE7B4C">
      <w:pPr>
        <w:pStyle w:val="Compact"/>
      </w:pPr>
    </w:p>
    <w:p w14:paraId="4F9AECB8" w14:textId="77777777" w:rsidR="00BE7B4C" w:rsidRDefault="00BE7B4C">
      <w:pPr>
        <w:spacing w:before="0" w:after="0"/>
        <w:ind w:left="0"/>
        <w:rPr>
          <w:rFonts w:ascii="Neutro MYOB Medium" w:hAnsi="Neutro MYOB Medium" w:cs="Stone Sans"/>
          <w:bCs/>
          <w:sz w:val="76"/>
          <w:szCs w:val="76"/>
          <w:lang w:val="en-AU"/>
        </w:rPr>
      </w:pPr>
      <w:bookmarkStart w:id="40" w:name="browserTS"/>
      <w:bookmarkStart w:id="41" w:name="bug-fixes---greentree-desktop"/>
      <w:bookmarkEnd w:id="40"/>
      <w:bookmarkEnd w:id="41"/>
      <w:r>
        <w:br w:type="page"/>
      </w:r>
    </w:p>
    <w:p w14:paraId="4A0E091C" w14:textId="2B4D4D4A" w:rsidR="00E34917" w:rsidRDefault="00E34917" w:rsidP="00BE7B4C">
      <w:pPr>
        <w:pStyle w:val="Heading1"/>
        <w:ind w:left="851"/>
      </w:pPr>
      <w:bookmarkStart w:id="42" w:name="_Toc46232618"/>
      <w:r>
        <w:lastRenderedPageBreak/>
        <w:t>Bug Fixes - Greentree Desktop</w:t>
      </w:r>
      <w:bookmarkEnd w:id="42"/>
    </w:p>
    <w:p w14:paraId="178040D4" w14:textId="77777777" w:rsidR="00E34917" w:rsidRDefault="00E34917" w:rsidP="00BE7B4C">
      <w:pPr>
        <w:pStyle w:val="FirstParagraph"/>
        <w:ind w:left="567"/>
      </w:pPr>
      <w:r>
        <w:t>We've fixed these issues in Greentree Desktop:</w:t>
      </w:r>
    </w:p>
    <w:p w14:paraId="2E43CDB3" w14:textId="77777777" w:rsidR="00E34917" w:rsidRDefault="00E34917" w:rsidP="00BE7B4C">
      <w:pPr>
        <w:pStyle w:val="Heading3"/>
        <w:ind w:left="567"/>
      </w:pPr>
      <w:bookmarkStart w:id="43" w:name="accounts-payable"/>
      <w:bookmarkStart w:id="44" w:name="_Toc46232619"/>
      <w:bookmarkEnd w:id="43"/>
      <w:r>
        <w:t>Accounts Payable</w:t>
      </w:r>
      <w:bookmarkEnd w:id="44"/>
    </w:p>
    <w:p w14:paraId="7A3706D8" w14:textId="77777777" w:rsidR="00E34917" w:rsidRDefault="00E34917" w:rsidP="00BE7B4C">
      <w:pPr>
        <w:pStyle w:val="Compact"/>
        <w:numPr>
          <w:ilvl w:val="0"/>
          <w:numId w:val="27"/>
        </w:numPr>
        <w:ind w:left="1134"/>
      </w:pPr>
      <w:r>
        <w:t xml:space="preserve">When an AP payment, journal, or credit note is applied to an invoice in the current or previous and future periods, the total outstanding value on the AP Aged Balance report now shows the correct value in the </w:t>
      </w:r>
      <w:r w:rsidRPr="69146C7D">
        <w:rPr>
          <w:b/>
          <w:bCs/>
        </w:rPr>
        <w:t>Total</w:t>
      </w:r>
      <w:r>
        <w:t xml:space="preserve"> column.</w:t>
      </w:r>
    </w:p>
    <w:p w14:paraId="2C0E7CDD" w14:textId="77777777" w:rsidR="00E34917" w:rsidRDefault="00E34917" w:rsidP="00BE7B4C">
      <w:pPr>
        <w:pStyle w:val="Compact"/>
        <w:numPr>
          <w:ilvl w:val="0"/>
          <w:numId w:val="27"/>
        </w:numPr>
        <w:ind w:left="1134"/>
      </w:pPr>
      <w:r>
        <w:t xml:space="preserve">We've increased the length of the </w:t>
      </w:r>
      <w:r w:rsidRPr="69146C7D">
        <w:rPr>
          <w:b/>
          <w:bCs/>
        </w:rPr>
        <w:t>City</w:t>
      </w:r>
      <w:r>
        <w:t xml:space="preserve"> field on the AP Customer Maintenance form so all of a city's name is visible.</w:t>
      </w:r>
    </w:p>
    <w:p w14:paraId="42D8EF72" w14:textId="77777777" w:rsidR="00E34917" w:rsidRDefault="00E34917" w:rsidP="00BE7B4C">
      <w:pPr>
        <w:pStyle w:val="Compact"/>
        <w:numPr>
          <w:ilvl w:val="0"/>
          <w:numId w:val="27"/>
        </w:numPr>
        <w:ind w:left="1134"/>
      </w:pPr>
      <w:r>
        <w:t xml:space="preserve">When you save an AP payment with an unapplied credit note, the </w:t>
      </w:r>
      <w:r w:rsidRPr="69146C7D">
        <w:rPr>
          <w:b/>
          <w:bCs/>
        </w:rPr>
        <w:t>Reference</w:t>
      </w:r>
      <w:r>
        <w:t xml:space="preserve"> field on the </w:t>
      </w:r>
      <w:r w:rsidRPr="69146C7D">
        <w:rPr>
          <w:b/>
          <w:bCs/>
        </w:rPr>
        <w:t>Items to Pay</w:t>
      </w:r>
      <w:r>
        <w:t xml:space="preserve"> sub tab no longer displays </w:t>
      </w:r>
      <w:r w:rsidRPr="69146C7D">
        <w:rPr>
          <w:i/>
          <w:iCs/>
        </w:rPr>
        <w:t>UNAPP</w:t>
      </w:r>
      <w:r>
        <w:t>.</w:t>
      </w:r>
    </w:p>
    <w:p w14:paraId="1766B4FE" w14:textId="77777777" w:rsidR="00E34917" w:rsidRDefault="00E34917" w:rsidP="00BE7B4C">
      <w:pPr>
        <w:pStyle w:val="Compact"/>
        <w:numPr>
          <w:ilvl w:val="0"/>
          <w:numId w:val="27"/>
        </w:numPr>
        <w:ind w:left="1134"/>
      </w:pPr>
      <w:r>
        <w:t>When you export to XML from the Explorer, Greentree Desktop now appends the time to the end of dates.</w:t>
      </w:r>
    </w:p>
    <w:p w14:paraId="5A3A402D" w14:textId="77777777" w:rsidR="00E34917" w:rsidRDefault="00E34917" w:rsidP="00BE7B4C">
      <w:pPr>
        <w:pStyle w:val="Compact"/>
        <w:numPr>
          <w:ilvl w:val="0"/>
          <w:numId w:val="27"/>
        </w:numPr>
        <w:ind w:left="1134"/>
      </w:pPr>
      <w:r>
        <w:t>Selecting a supplier payment now includes the correct parent and child accounts for the payment.</w:t>
      </w:r>
    </w:p>
    <w:p w14:paraId="07BCD844" w14:textId="77777777" w:rsidR="00E34917" w:rsidRDefault="00E34917" w:rsidP="00BE7B4C">
      <w:pPr>
        <w:pStyle w:val="Heading3"/>
        <w:ind w:left="567"/>
      </w:pPr>
      <w:bookmarkStart w:id="45" w:name="accounts-receivable"/>
      <w:bookmarkStart w:id="46" w:name="_Toc46232620"/>
      <w:bookmarkEnd w:id="45"/>
      <w:r>
        <w:t>Accounts Receivable</w:t>
      </w:r>
      <w:bookmarkEnd w:id="46"/>
    </w:p>
    <w:p w14:paraId="72C15AFA" w14:textId="77777777" w:rsidR="00E34917" w:rsidRDefault="00E34917" w:rsidP="00BE7B4C">
      <w:pPr>
        <w:pStyle w:val="Compact"/>
        <w:numPr>
          <w:ilvl w:val="0"/>
          <w:numId w:val="27"/>
        </w:numPr>
        <w:ind w:left="993"/>
      </w:pPr>
      <w:r>
        <w:t xml:space="preserve">We've increased the length of the </w:t>
      </w:r>
      <w:r w:rsidRPr="69146C7D">
        <w:rPr>
          <w:b/>
          <w:bCs/>
        </w:rPr>
        <w:t>City</w:t>
      </w:r>
      <w:r>
        <w:t xml:space="preserve"> field on the AR Customer Maintenance form so all of a city's name is visible.</w:t>
      </w:r>
    </w:p>
    <w:p w14:paraId="7ECC2473" w14:textId="77777777" w:rsidR="00E34917" w:rsidRDefault="00E34917" w:rsidP="00BE7B4C">
      <w:pPr>
        <w:pStyle w:val="Compact"/>
        <w:numPr>
          <w:ilvl w:val="0"/>
          <w:numId w:val="27"/>
        </w:numPr>
        <w:ind w:left="993"/>
      </w:pPr>
      <w:r>
        <w:t xml:space="preserve">When you save an AR receipt with an unapplied credit note, the </w:t>
      </w:r>
      <w:r w:rsidRPr="69146C7D">
        <w:rPr>
          <w:b/>
          <w:bCs/>
        </w:rPr>
        <w:t>Reference</w:t>
      </w:r>
      <w:r>
        <w:t xml:space="preserve"> field on the </w:t>
      </w:r>
      <w:r w:rsidRPr="69146C7D">
        <w:rPr>
          <w:b/>
          <w:bCs/>
        </w:rPr>
        <w:t>Items to Pay</w:t>
      </w:r>
      <w:r>
        <w:t xml:space="preserve"> sub tab no longer displays </w:t>
      </w:r>
      <w:r w:rsidRPr="69146C7D">
        <w:rPr>
          <w:i/>
          <w:iCs/>
        </w:rPr>
        <w:t>UNAPP</w:t>
      </w:r>
      <w:r>
        <w:t>.</w:t>
      </w:r>
    </w:p>
    <w:p w14:paraId="789F44E3" w14:textId="77777777" w:rsidR="00E34917" w:rsidRDefault="00E34917" w:rsidP="00BE7B4C">
      <w:pPr>
        <w:pStyle w:val="Compact"/>
        <w:numPr>
          <w:ilvl w:val="0"/>
          <w:numId w:val="27"/>
        </w:numPr>
        <w:ind w:left="993"/>
      </w:pPr>
      <w:r>
        <w:t>We've fixed a performance issue caused by AR statement jobs that blocked users and interfered with other running tasks.</w:t>
      </w:r>
    </w:p>
    <w:p w14:paraId="1122B513" w14:textId="77777777" w:rsidR="00E34917" w:rsidRDefault="00E34917" w:rsidP="00BE7B4C">
      <w:pPr>
        <w:pStyle w:val="Compact"/>
        <w:numPr>
          <w:ilvl w:val="0"/>
          <w:numId w:val="27"/>
        </w:numPr>
        <w:ind w:left="993"/>
      </w:pPr>
      <w:r>
        <w:t xml:space="preserve">You can now </w:t>
      </w:r>
      <w:proofErr w:type="spellStart"/>
      <w:r>
        <w:t>hotprint</w:t>
      </w:r>
      <w:proofErr w:type="spellEnd"/>
      <w:r>
        <w:t xml:space="preserve"> a receipt from the AR Receipt Entry form when that receipt is in a closed period.</w:t>
      </w:r>
    </w:p>
    <w:p w14:paraId="7B895012" w14:textId="77777777" w:rsidR="00E34917" w:rsidRDefault="00E34917" w:rsidP="00BE7B4C">
      <w:pPr>
        <w:pStyle w:val="Heading3"/>
        <w:ind w:left="567"/>
      </w:pPr>
      <w:bookmarkStart w:id="47" w:name="cash-management"/>
      <w:bookmarkStart w:id="48" w:name="_Toc46232621"/>
      <w:bookmarkEnd w:id="47"/>
      <w:r>
        <w:t>Cash Management</w:t>
      </w:r>
      <w:bookmarkEnd w:id="48"/>
    </w:p>
    <w:p w14:paraId="5DD1CF41" w14:textId="77777777" w:rsidR="00E34917" w:rsidRDefault="00E34917" w:rsidP="00BE7B4C">
      <w:pPr>
        <w:pStyle w:val="Compact"/>
        <w:numPr>
          <w:ilvl w:val="0"/>
          <w:numId w:val="27"/>
        </w:numPr>
        <w:ind w:left="993"/>
      </w:pPr>
      <w:r>
        <w:t xml:space="preserve">We've added a Cash Management system script named </w:t>
      </w:r>
      <w:r w:rsidRPr="69146C7D">
        <w:rPr>
          <w:i/>
          <w:iCs/>
        </w:rPr>
        <w:t>Fix cancelled cheque's transaction's status</w:t>
      </w:r>
      <w:r>
        <w:t xml:space="preserve">. This script ensures that an unreconciled transaction associated with a cancelled cheque has the status of </w:t>
      </w:r>
      <w:r w:rsidRPr="69146C7D">
        <w:rPr>
          <w:b/>
          <w:bCs/>
        </w:rPr>
        <w:t>Cancelled</w:t>
      </w:r>
      <w:r>
        <w:t>. The cancelled transaction no longer displays on a bank statement.</w:t>
      </w:r>
    </w:p>
    <w:p w14:paraId="5508CF3F" w14:textId="77777777" w:rsidR="00E34917" w:rsidRDefault="00E34917" w:rsidP="00BE7B4C">
      <w:pPr>
        <w:pStyle w:val="Compact"/>
        <w:numPr>
          <w:ilvl w:val="0"/>
          <w:numId w:val="27"/>
        </w:numPr>
        <w:ind w:left="993"/>
      </w:pPr>
      <w:r>
        <w:t>You can import CSV files without header rows into Cash Management. Transaction lines now import and process correctly.</w:t>
      </w:r>
    </w:p>
    <w:p w14:paraId="6CCA35D6" w14:textId="77777777" w:rsidR="00BE7B4C" w:rsidRDefault="00BE7B4C">
      <w:pPr>
        <w:spacing w:before="0" w:after="0"/>
        <w:ind w:left="0"/>
        <w:rPr>
          <w:rFonts w:ascii="Neutro MYOB Medium" w:hAnsi="Neutro MYOB Medium" w:cs="Stone Sans"/>
          <w:bCs/>
          <w:sz w:val="32"/>
          <w:szCs w:val="24"/>
          <w:lang w:val="en-AU"/>
        </w:rPr>
      </w:pPr>
      <w:bookmarkStart w:id="49" w:name="crm"/>
      <w:bookmarkEnd w:id="49"/>
      <w:r>
        <w:br w:type="page"/>
      </w:r>
    </w:p>
    <w:p w14:paraId="4E038D89" w14:textId="7868EFF3" w:rsidR="00E34917" w:rsidRDefault="00E34917" w:rsidP="00BE7B4C">
      <w:pPr>
        <w:pStyle w:val="Heading3"/>
        <w:ind w:left="567"/>
      </w:pPr>
      <w:bookmarkStart w:id="50" w:name="_Toc46232622"/>
      <w:r>
        <w:lastRenderedPageBreak/>
        <w:t>CRM</w:t>
      </w:r>
      <w:bookmarkEnd w:id="50"/>
    </w:p>
    <w:p w14:paraId="79599EF4" w14:textId="77777777" w:rsidR="00E34917" w:rsidRDefault="00E34917" w:rsidP="00BE7B4C">
      <w:pPr>
        <w:pStyle w:val="Compact"/>
        <w:numPr>
          <w:ilvl w:val="0"/>
          <w:numId w:val="27"/>
        </w:numPr>
        <w:ind w:left="993"/>
      </w:pPr>
      <w:r>
        <w:t xml:space="preserve">You can print an attached barcode by clicking the icon on the Attachment form after you add the attachment using </w:t>
      </w:r>
      <w:proofErr w:type="spellStart"/>
      <w:r>
        <w:t>Autoscan</w:t>
      </w:r>
      <w:proofErr w:type="spellEnd"/>
      <w:r>
        <w:t>.</w:t>
      </w:r>
    </w:p>
    <w:p w14:paraId="7E33DCD7" w14:textId="77777777" w:rsidR="00E34917" w:rsidRDefault="00E34917" w:rsidP="00BE7B4C">
      <w:pPr>
        <w:pStyle w:val="Compact"/>
        <w:numPr>
          <w:ilvl w:val="0"/>
          <w:numId w:val="27"/>
        </w:numPr>
        <w:ind w:left="993"/>
      </w:pPr>
      <w:r>
        <w:t xml:space="preserve">The error </w:t>
      </w:r>
      <w:r w:rsidRPr="69146C7D">
        <w:rPr>
          <w:i/>
          <w:iCs/>
        </w:rPr>
        <w:t>Expected identifier, string or number</w:t>
      </w:r>
      <w:r>
        <w:t xml:space="preserve"> no longer displays when you click the </w:t>
      </w:r>
      <w:r w:rsidRPr="69146C7D">
        <w:rPr>
          <w:b/>
          <w:bCs/>
        </w:rPr>
        <w:t>Web</w:t>
      </w:r>
      <w:r>
        <w:t xml:space="preserve"> link on the </w:t>
      </w:r>
      <w:r w:rsidRPr="69146C7D">
        <w:rPr>
          <w:b/>
          <w:bCs/>
        </w:rPr>
        <w:t>Main</w:t>
      </w:r>
      <w:r>
        <w:t xml:space="preserve"> tab of the </w:t>
      </w:r>
      <w:proofErr w:type="spellStart"/>
      <w:r>
        <w:t>Organisation</w:t>
      </w:r>
      <w:proofErr w:type="spellEnd"/>
      <w:r>
        <w:t xml:space="preserve"> Maintenance form.</w:t>
      </w:r>
    </w:p>
    <w:p w14:paraId="26AC1B05" w14:textId="77777777" w:rsidR="00E34917" w:rsidRDefault="00E34917" w:rsidP="00BE7B4C">
      <w:pPr>
        <w:pStyle w:val="Compact"/>
        <w:numPr>
          <w:ilvl w:val="0"/>
          <w:numId w:val="27"/>
        </w:numPr>
        <w:ind w:left="993"/>
      </w:pPr>
      <w:r w:rsidRPr="69146C7D">
        <w:rPr>
          <w:i/>
          <w:iCs/>
        </w:rPr>
        <w:t xml:space="preserve">Error 14074 - Text of numeric </w:t>
      </w:r>
      <w:proofErr w:type="spellStart"/>
      <w:r w:rsidRPr="69146C7D">
        <w:rPr>
          <w:i/>
          <w:iCs/>
        </w:rPr>
        <w:t>TextBox</w:t>
      </w:r>
      <w:proofErr w:type="spellEnd"/>
      <w:r w:rsidRPr="69146C7D">
        <w:rPr>
          <w:i/>
          <w:iCs/>
        </w:rPr>
        <w:t xml:space="preserve"> or </w:t>
      </w:r>
      <w:proofErr w:type="spellStart"/>
      <w:r w:rsidRPr="69146C7D">
        <w:rPr>
          <w:i/>
          <w:iCs/>
        </w:rPr>
        <w:t>JadeEditMask</w:t>
      </w:r>
      <w:proofErr w:type="spellEnd"/>
      <w:r w:rsidRPr="69146C7D">
        <w:rPr>
          <w:i/>
          <w:iCs/>
        </w:rPr>
        <w:t xml:space="preserve"> not valid</w:t>
      </w:r>
      <w:r>
        <w:t xml:space="preserve"> no longer displays when creating or saving a quote for a foreign customer if the exchange rate is greater than </w:t>
      </w:r>
      <w:r w:rsidRPr="69146C7D">
        <w:rPr>
          <w:i/>
          <w:iCs/>
        </w:rPr>
        <w:t>999.99</w:t>
      </w:r>
      <w:r>
        <w:t>.</w:t>
      </w:r>
    </w:p>
    <w:p w14:paraId="33954C7C" w14:textId="77777777" w:rsidR="00E34917" w:rsidRDefault="00E34917" w:rsidP="00BE7B4C">
      <w:pPr>
        <w:pStyle w:val="Compact"/>
        <w:numPr>
          <w:ilvl w:val="0"/>
          <w:numId w:val="27"/>
        </w:numPr>
        <w:ind w:left="993"/>
      </w:pPr>
      <w:r>
        <w:t>When an asset has been sent for repair and is swapped for another asset, the second asset is put back in its former location when the original asset has been repaired.</w:t>
      </w:r>
    </w:p>
    <w:p w14:paraId="01A3F755" w14:textId="77777777" w:rsidR="00E34917" w:rsidRDefault="00E34917" w:rsidP="00BE7B4C">
      <w:pPr>
        <w:pStyle w:val="Compact"/>
        <w:numPr>
          <w:ilvl w:val="0"/>
          <w:numId w:val="27"/>
        </w:numPr>
        <w:ind w:left="993"/>
      </w:pPr>
      <w:r>
        <w:t xml:space="preserve">When saving an activity or work </w:t>
      </w:r>
      <w:proofErr w:type="spellStart"/>
      <w:r>
        <w:t>centre</w:t>
      </w:r>
      <w:proofErr w:type="spellEnd"/>
      <w:r>
        <w:t xml:space="preserve"> by clicking the </w:t>
      </w:r>
      <w:r w:rsidRPr="69146C7D">
        <w:rPr>
          <w:b/>
          <w:bCs/>
        </w:rPr>
        <w:t>Issue Inventory</w:t>
      </w:r>
      <w:r>
        <w:t xml:space="preserve"> button the Call or Service Request forms, the activity code or work </w:t>
      </w:r>
      <w:proofErr w:type="spellStart"/>
      <w:r>
        <w:t>centre</w:t>
      </w:r>
      <w:proofErr w:type="spellEnd"/>
      <w:r>
        <w:t xml:space="preserve"> display on the Issue Service Request Inventory form. Otherwise Greentree defaults the activity code from the inventory item's record, or takes the work </w:t>
      </w:r>
      <w:proofErr w:type="spellStart"/>
      <w:r>
        <w:t>centre</w:t>
      </w:r>
      <w:proofErr w:type="spellEnd"/>
      <w:r>
        <w:t xml:space="preserve"> from the activity's default work </w:t>
      </w:r>
      <w:proofErr w:type="spellStart"/>
      <w:r>
        <w:t>centre</w:t>
      </w:r>
      <w:proofErr w:type="spellEnd"/>
      <w:r>
        <w:t>.</w:t>
      </w:r>
    </w:p>
    <w:p w14:paraId="0A5439E5" w14:textId="77777777" w:rsidR="00E34917" w:rsidRDefault="00E34917" w:rsidP="00BE7B4C">
      <w:pPr>
        <w:pStyle w:val="Compact"/>
        <w:numPr>
          <w:ilvl w:val="0"/>
          <w:numId w:val="27"/>
        </w:numPr>
        <w:ind w:left="993"/>
      </w:pPr>
      <w:r>
        <w:t xml:space="preserve">The barcode that </w:t>
      </w:r>
      <w:proofErr w:type="spellStart"/>
      <w:r>
        <w:t>Autoscan</w:t>
      </w:r>
      <w:proofErr w:type="spellEnd"/>
      <w:r>
        <w:t xml:space="preserve"> generates for location transfers now appears in a Location Transfer report when you include the barcode.</w:t>
      </w:r>
    </w:p>
    <w:p w14:paraId="5C3DBAA4" w14:textId="77777777" w:rsidR="00E34917" w:rsidRDefault="00E34917" w:rsidP="00BE7B4C">
      <w:pPr>
        <w:pStyle w:val="Compact"/>
        <w:numPr>
          <w:ilvl w:val="0"/>
          <w:numId w:val="27"/>
        </w:numPr>
        <w:ind w:left="993"/>
      </w:pPr>
      <w:r>
        <w:t xml:space="preserve">We've fixed a problem in </w:t>
      </w:r>
      <w:proofErr w:type="spellStart"/>
      <w:r>
        <w:t>eCRM</w:t>
      </w:r>
      <w:proofErr w:type="spellEnd"/>
      <w:r>
        <w:t xml:space="preserve"> where general ledger batch edit listings include timesheets for which the timesheet batch is linked to a different company. This was caused by company settings not being properly synchronized.</w:t>
      </w:r>
    </w:p>
    <w:p w14:paraId="472E109D" w14:textId="77777777" w:rsidR="00E34917" w:rsidRDefault="00E34917" w:rsidP="00BE7B4C">
      <w:pPr>
        <w:pStyle w:val="Heading3"/>
        <w:ind w:left="567"/>
      </w:pPr>
      <w:bookmarkStart w:id="51" w:name="free"/>
      <w:bookmarkStart w:id="52" w:name="_Toc46232623"/>
      <w:bookmarkEnd w:id="51"/>
      <w:r>
        <w:t>FREE</w:t>
      </w:r>
      <w:bookmarkEnd w:id="52"/>
    </w:p>
    <w:p w14:paraId="4D402FE6" w14:textId="77777777" w:rsidR="00E34917" w:rsidRDefault="00E34917" w:rsidP="00BE7B4C">
      <w:pPr>
        <w:pStyle w:val="Compact"/>
        <w:numPr>
          <w:ilvl w:val="0"/>
          <w:numId w:val="27"/>
        </w:numPr>
        <w:ind w:left="993"/>
      </w:pPr>
      <w:r>
        <w:t xml:space="preserve">When importing data using the </w:t>
      </w:r>
      <w:proofErr w:type="spellStart"/>
      <w:r w:rsidRPr="69146C7D">
        <w:rPr>
          <w:i/>
          <w:iCs/>
        </w:rPr>
        <w:t>gtCustomer</w:t>
      </w:r>
      <w:proofErr w:type="spellEnd"/>
      <w:r>
        <w:t xml:space="preserve"> function, the </w:t>
      </w:r>
      <w:proofErr w:type="spellStart"/>
      <w:r w:rsidRPr="69146C7D">
        <w:rPr>
          <w:i/>
          <w:iCs/>
        </w:rPr>
        <w:t>isOrderNumberUnique</w:t>
      </w:r>
      <w:proofErr w:type="spellEnd"/>
      <w:r>
        <w:t xml:space="preserve"> option is no longer automatically set to </w:t>
      </w:r>
      <w:r w:rsidRPr="69146C7D">
        <w:rPr>
          <w:i/>
          <w:iCs/>
        </w:rPr>
        <w:t>false</w:t>
      </w:r>
      <w:r>
        <w:t>.</w:t>
      </w:r>
    </w:p>
    <w:p w14:paraId="327A74BB" w14:textId="77777777" w:rsidR="00E34917" w:rsidRDefault="00E34917" w:rsidP="00BE7B4C">
      <w:pPr>
        <w:pStyle w:val="Compact"/>
        <w:numPr>
          <w:ilvl w:val="0"/>
          <w:numId w:val="27"/>
        </w:numPr>
        <w:ind w:left="993"/>
      </w:pPr>
      <w:r>
        <w:t xml:space="preserve">When importing data using the </w:t>
      </w:r>
      <w:proofErr w:type="spellStart"/>
      <w:r w:rsidRPr="69146C7D">
        <w:rPr>
          <w:i/>
          <w:iCs/>
        </w:rPr>
        <w:t>gtJCAdjustGLLine</w:t>
      </w:r>
      <w:proofErr w:type="spellEnd"/>
      <w:r>
        <w:t xml:space="preserve"> function, if the </w:t>
      </w:r>
      <w:r w:rsidRPr="69146C7D">
        <w:rPr>
          <w:b/>
          <w:bCs/>
        </w:rPr>
        <w:t>Cost Rate</w:t>
      </w:r>
      <w:r>
        <w:t xml:space="preserve"> is determined by a calculation whose value is less than </w:t>
      </w:r>
      <w:r w:rsidRPr="69146C7D">
        <w:rPr>
          <w:i/>
          <w:iCs/>
        </w:rPr>
        <w:t>0.1</w:t>
      </w:r>
      <w:r>
        <w:t xml:space="preserve">, the </w:t>
      </w:r>
      <w:r w:rsidRPr="69146C7D">
        <w:rPr>
          <w:b/>
          <w:bCs/>
        </w:rPr>
        <w:t>Cost</w:t>
      </w:r>
      <w:r>
        <w:t xml:space="preserve"> is not multiplied by 100.</w:t>
      </w:r>
    </w:p>
    <w:p w14:paraId="1EDCEC2C" w14:textId="77777777" w:rsidR="00E34917" w:rsidRDefault="00E34917" w:rsidP="00BE7B4C">
      <w:pPr>
        <w:pStyle w:val="Heading3"/>
        <w:ind w:left="567"/>
      </w:pPr>
      <w:bookmarkStart w:id="53" w:name="hr-payroll"/>
      <w:bookmarkStart w:id="54" w:name="_Toc46232624"/>
      <w:bookmarkEnd w:id="53"/>
      <w:r>
        <w:t>HR Payroll</w:t>
      </w:r>
      <w:bookmarkEnd w:id="54"/>
    </w:p>
    <w:p w14:paraId="1C5D1D57" w14:textId="77777777" w:rsidR="00E34917" w:rsidRDefault="00E34917" w:rsidP="00BE7B4C">
      <w:pPr>
        <w:pStyle w:val="Compact"/>
        <w:numPr>
          <w:ilvl w:val="0"/>
          <w:numId w:val="27"/>
        </w:numPr>
        <w:ind w:left="993"/>
      </w:pPr>
      <w:r>
        <w:t xml:space="preserve">We've fixed an issue where </w:t>
      </w:r>
      <w:r w:rsidRPr="69146C7D">
        <w:rPr>
          <w:i/>
          <w:iCs/>
        </w:rPr>
        <w:t>Critical Error 500</w:t>
      </w:r>
      <w:r>
        <w:t xml:space="preserve"> displayed when a user submitted a Single Touch Payroll (STP) lodgement that included an employee with an </w:t>
      </w:r>
      <w:hyperlink r:id="rId41">
        <w:r w:rsidRPr="69146C7D">
          <w:rPr>
            <w:rStyle w:val="Hyperlink"/>
          </w:rPr>
          <w:t>employment termination payment</w:t>
        </w:r>
      </w:hyperlink>
      <w:r>
        <w:t>.</w:t>
      </w:r>
    </w:p>
    <w:p w14:paraId="3B3B65C7" w14:textId="77777777" w:rsidR="00E34917" w:rsidRDefault="00E34917" w:rsidP="00BE7B4C">
      <w:pPr>
        <w:pStyle w:val="Compact"/>
        <w:numPr>
          <w:ilvl w:val="0"/>
          <w:numId w:val="27"/>
        </w:numPr>
        <w:ind w:left="993"/>
      </w:pPr>
      <w:r w:rsidRPr="69146C7D">
        <w:rPr>
          <w:i/>
          <w:iCs/>
        </w:rPr>
        <w:t>Error 1090</w:t>
      </w:r>
      <w:r>
        <w:t xml:space="preserve"> no longer displays when you try to open a lodgement containing errors on the </w:t>
      </w:r>
      <w:proofErr w:type="spellStart"/>
      <w:r>
        <w:t>Lodgements</w:t>
      </w:r>
      <w:proofErr w:type="spellEnd"/>
      <w:r>
        <w:t xml:space="preserve"> form. The </w:t>
      </w:r>
      <w:proofErr w:type="spellStart"/>
      <w:r>
        <w:t>Lodgements</w:t>
      </w:r>
      <w:proofErr w:type="spellEnd"/>
      <w:r>
        <w:t xml:space="preserve"> form now opens, and you can review and fix any errors.</w:t>
      </w:r>
    </w:p>
    <w:p w14:paraId="70BC4E98" w14:textId="77777777" w:rsidR="00E34917" w:rsidRDefault="00E34917" w:rsidP="00BE7B4C">
      <w:pPr>
        <w:pStyle w:val="Compact"/>
        <w:numPr>
          <w:ilvl w:val="0"/>
          <w:numId w:val="27"/>
        </w:numPr>
        <w:ind w:left="993"/>
      </w:pPr>
      <w:r>
        <w:t>We've fixed an issue where the ATO rejected an STP lodgement because the timestamp of the lodgement (computed on a Greentree server in New Zealand) was not correctly adjusted to Australian Eastern Standard Time.</w:t>
      </w:r>
    </w:p>
    <w:p w14:paraId="03200C1E" w14:textId="77777777" w:rsidR="00E34917" w:rsidRDefault="00E34917" w:rsidP="00BE7B4C">
      <w:pPr>
        <w:pStyle w:val="Compact"/>
        <w:numPr>
          <w:ilvl w:val="0"/>
          <w:numId w:val="27"/>
        </w:numPr>
        <w:ind w:left="993"/>
      </w:pPr>
      <w:r>
        <w:t xml:space="preserve">We've fixed an issue where </w:t>
      </w:r>
      <w:r w:rsidRPr="69146C7D">
        <w:rPr>
          <w:i/>
          <w:iCs/>
        </w:rPr>
        <w:t>Critical Error 500</w:t>
      </w:r>
      <w:r>
        <w:t xml:space="preserve"> displayed when users tried to submit an STP lodgement to the ATO. This problem occurred because on the </w:t>
      </w:r>
      <w:r w:rsidRPr="69146C7D">
        <w:rPr>
          <w:b/>
          <w:bCs/>
        </w:rPr>
        <w:t>Tax Config</w:t>
      </w:r>
      <w:r>
        <w:t xml:space="preserve"> tab of the HR Employee Maintenance - Payroll form:</w:t>
      </w:r>
    </w:p>
    <w:p w14:paraId="7F7D87C7" w14:textId="77777777" w:rsidR="00E34917" w:rsidRDefault="00E34917" w:rsidP="00BE7B4C">
      <w:pPr>
        <w:pStyle w:val="Compact"/>
        <w:numPr>
          <w:ilvl w:val="0"/>
          <w:numId w:val="27"/>
        </w:numPr>
        <w:ind w:left="1418"/>
      </w:pPr>
      <w:r>
        <w:t xml:space="preserve">Nothing was selected from the </w:t>
      </w:r>
      <w:r w:rsidRPr="69146C7D">
        <w:rPr>
          <w:b/>
          <w:bCs/>
        </w:rPr>
        <w:t>Payee tax status</w:t>
      </w:r>
      <w:r>
        <w:t xml:space="preserve"> list, and</w:t>
      </w:r>
    </w:p>
    <w:p w14:paraId="0DCED5EF" w14:textId="77777777" w:rsidR="00E34917" w:rsidRDefault="00E34917" w:rsidP="00BE7B4C">
      <w:pPr>
        <w:pStyle w:val="Compact"/>
        <w:numPr>
          <w:ilvl w:val="0"/>
          <w:numId w:val="27"/>
        </w:numPr>
        <w:ind w:left="1418"/>
      </w:pPr>
      <w:r>
        <w:t xml:space="preserve">The option </w:t>
      </w:r>
      <w:r w:rsidRPr="69146C7D">
        <w:rPr>
          <w:b/>
          <w:bCs/>
        </w:rPr>
        <w:t>Include in next submission to the ATO</w:t>
      </w:r>
      <w:r>
        <w:t xml:space="preserve"> was selected.</w:t>
      </w:r>
    </w:p>
    <w:p w14:paraId="52F1E6F3" w14:textId="77777777" w:rsidR="00E34917" w:rsidRDefault="00E34917" w:rsidP="00BE7B4C">
      <w:pPr>
        <w:pStyle w:val="Compact"/>
        <w:numPr>
          <w:ilvl w:val="0"/>
          <w:numId w:val="26"/>
        </w:numPr>
        <w:ind w:left="993"/>
      </w:pPr>
      <w:r>
        <w:lastRenderedPageBreak/>
        <w:t xml:space="preserve">Greentree Desktop now displays a warning that the employee needs a payee status set </w:t>
      </w:r>
      <w:r w:rsidRPr="69146C7D">
        <w:rPr>
          <w:i/>
          <w:iCs/>
        </w:rPr>
        <w:t>before</w:t>
      </w:r>
      <w:r>
        <w:t xml:space="preserve"> you can submit the lodgement.</w:t>
      </w:r>
    </w:p>
    <w:p w14:paraId="2535C9CD" w14:textId="77777777" w:rsidR="00E34917" w:rsidRDefault="00E34917" w:rsidP="00BE7B4C">
      <w:pPr>
        <w:pStyle w:val="Compact"/>
        <w:numPr>
          <w:ilvl w:val="0"/>
          <w:numId w:val="27"/>
        </w:numPr>
        <w:ind w:left="993"/>
      </w:pPr>
      <w:r>
        <w:t xml:space="preserve">When updating an STP lodgement, the ATO rejected the update if it was submitted </w:t>
      </w:r>
      <w:r w:rsidRPr="69146C7D">
        <w:rPr>
          <w:i/>
          <w:iCs/>
        </w:rPr>
        <w:t>after</w:t>
      </w:r>
      <w:r>
        <w:t xml:space="preserve"> the end of the period for the original pay run. Greentree now uses the last day of the period as the date if the current date is after the end of the pay period.</w:t>
      </w:r>
    </w:p>
    <w:p w14:paraId="1B8B88EE" w14:textId="77777777" w:rsidR="00E34917" w:rsidRDefault="00E34917" w:rsidP="00BE7B4C">
      <w:pPr>
        <w:pStyle w:val="Compact"/>
        <w:numPr>
          <w:ilvl w:val="0"/>
          <w:numId w:val="27"/>
        </w:numPr>
        <w:ind w:left="993"/>
      </w:pPr>
      <w:r>
        <w:t xml:space="preserve">To prevent </w:t>
      </w:r>
      <w:r w:rsidRPr="69146C7D">
        <w:rPr>
          <w:i/>
          <w:iCs/>
        </w:rPr>
        <w:t>Error 1090</w:t>
      </w:r>
      <w:r>
        <w:t xml:space="preserve"> from occurring, you can no longer delete a payment that has been lodged via STP.</w:t>
      </w:r>
    </w:p>
    <w:p w14:paraId="5310C290" w14:textId="77777777" w:rsidR="00E34917" w:rsidRDefault="00E34917" w:rsidP="00BE7B4C">
      <w:pPr>
        <w:pStyle w:val="Compact"/>
        <w:numPr>
          <w:ilvl w:val="0"/>
          <w:numId w:val="27"/>
        </w:numPr>
        <w:ind w:left="993"/>
      </w:pPr>
      <w:r>
        <w:t xml:space="preserve">STP </w:t>
      </w:r>
      <w:proofErr w:type="spellStart"/>
      <w:r>
        <w:t>lodgements</w:t>
      </w:r>
      <w:proofErr w:type="spellEnd"/>
      <w:r>
        <w:t xml:space="preserve"> for companies other than the current company no longer appear in the submissions list on the </w:t>
      </w:r>
      <w:proofErr w:type="spellStart"/>
      <w:r>
        <w:t>Lodgements</w:t>
      </w:r>
      <w:proofErr w:type="spellEnd"/>
      <w:r>
        <w:t xml:space="preserve"> form. This prevents a 404 submission response when you click </w:t>
      </w:r>
      <w:r w:rsidRPr="69146C7D">
        <w:rPr>
          <w:b/>
          <w:bCs/>
        </w:rPr>
        <w:t>Check Now</w:t>
      </w:r>
      <w:r>
        <w:t xml:space="preserve"> if the lodgement </w:t>
      </w:r>
      <w:proofErr w:type="spellStart"/>
      <w:r>
        <w:t>you're</w:t>
      </w:r>
      <w:proofErr w:type="spellEnd"/>
      <w:r>
        <w:t xml:space="preserve"> checking is not for the current company.</w:t>
      </w:r>
    </w:p>
    <w:p w14:paraId="4504FFAE" w14:textId="77777777" w:rsidR="00E34917" w:rsidRDefault="00E34917" w:rsidP="00BE7B4C">
      <w:pPr>
        <w:pStyle w:val="Compact"/>
        <w:numPr>
          <w:ilvl w:val="0"/>
          <w:numId w:val="27"/>
        </w:numPr>
        <w:ind w:left="993"/>
      </w:pPr>
      <w:r>
        <w:t>We've fixed a problem where users could not open the STP Lodgement form.</w:t>
      </w:r>
    </w:p>
    <w:p w14:paraId="6BD1893B" w14:textId="77777777" w:rsidR="00E34917" w:rsidRDefault="00E34917" w:rsidP="00BE7B4C">
      <w:pPr>
        <w:pStyle w:val="Compact"/>
        <w:numPr>
          <w:ilvl w:val="0"/>
          <w:numId w:val="27"/>
        </w:numPr>
        <w:ind w:left="993"/>
      </w:pPr>
      <w:r>
        <w:t xml:space="preserve">HR team security settings now apply to the STP lodgement preview function. Only </w:t>
      </w:r>
      <w:proofErr w:type="spellStart"/>
      <w:r>
        <w:t>authorised</w:t>
      </w:r>
      <w:proofErr w:type="spellEnd"/>
      <w:r>
        <w:t xml:space="preserve"> users can preview </w:t>
      </w:r>
      <w:proofErr w:type="spellStart"/>
      <w:r>
        <w:t>lodgements</w:t>
      </w:r>
      <w:proofErr w:type="spellEnd"/>
      <w:r>
        <w:t xml:space="preserve"> in Microsoft Excel.</w:t>
      </w:r>
    </w:p>
    <w:p w14:paraId="608A8029" w14:textId="77777777" w:rsidR="00E34917" w:rsidRDefault="00E34917" w:rsidP="00BE7B4C">
      <w:pPr>
        <w:pStyle w:val="Compact"/>
        <w:numPr>
          <w:ilvl w:val="0"/>
          <w:numId w:val="27"/>
        </w:numPr>
        <w:ind w:left="993"/>
      </w:pPr>
      <w:r>
        <w:t xml:space="preserve">If you select the </w:t>
      </w:r>
      <w:r w:rsidRPr="69146C7D">
        <w:rPr>
          <w:b/>
          <w:bCs/>
        </w:rPr>
        <w:t>Final for year</w:t>
      </w:r>
      <w:r>
        <w:t xml:space="preserve"> and </w:t>
      </w:r>
      <w:r w:rsidRPr="69146C7D">
        <w:rPr>
          <w:b/>
          <w:bCs/>
        </w:rPr>
        <w:t>All paid employees</w:t>
      </w:r>
      <w:r>
        <w:t xml:space="preserve"> options on the STP Update Lodgement form, you cannot deselect employees in the table on the form.</w:t>
      </w:r>
    </w:p>
    <w:p w14:paraId="3C639C1B" w14:textId="77777777" w:rsidR="00E34917" w:rsidRDefault="00E34917" w:rsidP="00BE7B4C">
      <w:pPr>
        <w:pStyle w:val="Compact"/>
        <w:numPr>
          <w:ilvl w:val="0"/>
          <w:numId w:val="27"/>
        </w:numPr>
        <w:ind w:left="993"/>
      </w:pPr>
      <w:r>
        <w:t>We've fixed an issue in which the Tax Summary report displayed an error and was not generated. This occurred when the report included an employee who has:</w:t>
      </w:r>
    </w:p>
    <w:p w14:paraId="54689146" w14:textId="77777777" w:rsidR="00E34917" w:rsidRDefault="00E34917" w:rsidP="00BE7B4C">
      <w:pPr>
        <w:pStyle w:val="Compact"/>
        <w:numPr>
          <w:ilvl w:val="0"/>
          <w:numId w:val="27"/>
        </w:numPr>
        <w:ind w:left="1418"/>
      </w:pPr>
      <w:r>
        <w:t>A salary sacrifice of 100% of their pay, and</w:t>
      </w:r>
    </w:p>
    <w:p w14:paraId="4A99FF9F" w14:textId="77777777" w:rsidR="00E34917" w:rsidRDefault="00E34917" w:rsidP="00BE7B4C">
      <w:pPr>
        <w:pStyle w:val="Compact"/>
        <w:numPr>
          <w:ilvl w:val="0"/>
          <w:numId w:val="27"/>
        </w:numPr>
        <w:ind w:left="1418"/>
      </w:pPr>
      <w:r>
        <w:t>Allowances included in their gross pay.</w:t>
      </w:r>
    </w:p>
    <w:p w14:paraId="10F064C2" w14:textId="77777777" w:rsidR="00E34917" w:rsidRDefault="00E34917" w:rsidP="00BE7B4C">
      <w:pPr>
        <w:pStyle w:val="Compact"/>
        <w:numPr>
          <w:ilvl w:val="0"/>
          <w:numId w:val="26"/>
        </w:numPr>
        <w:ind w:left="993"/>
      </w:pPr>
      <w:r>
        <w:t>This resulted in the employee's gross pay being a negative amount, which prevented the report from being run. In this situation, the report now displays negative gross pay if the employee has an allowance.</w:t>
      </w:r>
    </w:p>
    <w:p w14:paraId="715632D3" w14:textId="77777777" w:rsidR="00E34917" w:rsidRDefault="00E34917" w:rsidP="00BE7B4C">
      <w:pPr>
        <w:pStyle w:val="Compact"/>
        <w:numPr>
          <w:ilvl w:val="0"/>
          <w:numId w:val="27"/>
        </w:numPr>
        <w:ind w:left="993"/>
      </w:pPr>
      <w:r>
        <w:t xml:space="preserve">You can now deselect the </w:t>
      </w:r>
      <w:r w:rsidRPr="69146C7D">
        <w:rPr>
          <w:b/>
          <w:bCs/>
        </w:rPr>
        <w:t>Create GL Journal</w:t>
      </w:r>
      <w:r>
        <w:t xml:space="preserve"> option on the Transaction Type - Employer Costs form.</w:t>
      </w:r>
    </w:p>
    <w:p w14:paraId="12E8CC61" w14:textId="77777777" w:rsidR="00E34917" w:rsidRDefault="00E34917" w:rsidP="00BE7B4C">
      <w:pPr>
        <w:pStyle w:val="Compact"/>
        <w:numPr>
          <w:ilvl w:val="0"/>
          <w:numId w:val="27"/>
        </w:numPr>
        <w:ind w:left="993"/>
      </w:pPr>
      <w:r>
        <w:t xml:space="preserve">We've fixed an issue with how the Leave in Advance amount on an employee's termination pay is calculated. The last line of any leave taken but not entitled is </w:t>
      </w:r>
      <w:proofErr w:type="spellStart"/>
      <w:r>
        <w:t>not longer</w:t>
      </w:r>
      <w:proofErr w:type="spellEnd"/>
      <w:r>
        <w:t xml:space="preserve"> ignored in the accumulated amount.</w:t>
      </w:r>
    </w:p>
    <w:p w14:paraId="07F5654E" w14:textId="77777777" w:rsidR="00E34917" w:rsidRDefault="00E34917" w:rsidP="00BE7B4C">
      <w:pPr>
        <w:pStyle w:val="Compact"/>
        <w:numPr>
          <w:ilvl w:val="0"/>
          <w:numId w:val="27"/>
        </w:numPr>
        <w:ind w:left="993"/>
      </w:pPr>
      <w:r>
        <w:t xml:space="preserve">Amounts on the ETP Payment Summary report are now truncated and not rounded up. For example, an ETP amount of </w:t>
      </w:r>
      <w:r w:rsidRPr="69146C7D">
        <w:rPr>
          <w:i/>
          <w:iCs/>
        </w:rPr>
        <w:t>1226.76</w:t>
      </w:r>
      <w:r>
        <w:t xml:space="preserve"> now displays as </w:t>
      </w:r>
      <w:r w:rsidRPr="69146C7D">
        <w:rPr>
          <w:i/>
          <w:iCs/>
        </w:rPr>
        <w:t>$1226</w:t>
      </w:r>
      <w:r>
        <w:t xml:space="preserve"> in the report and not </w:t>
      </w:r>
      <w:r w:rsidRPr="69146C7D">
        <w:rPr>
          <w:i/>
          <w:iCs/>
        </w:rPr>
        <w:t>$1227</w:t>
      </w:r>
      <w:r>
        <w:t xml:space="preserve">. </w:t>
      </w:r>
    </w:p>
    <w:p w14:paraId="6C3C206C" w14:textId="77777777" w:rsidR="00E34917" w:rsidRDefault="00E34917" w:rsidP="00BE7B4C">
      <w:pPr>
        <w:pStyle w:val="Compact"/>
        <w:numPr>
          <w:ilvl w:val="0"/>
          <w:numId w:val="27"/>
        </w:numPr>
        <w:ind w:left="993"/>
      </w:pPr>
      <w:r>
        <w:t>We've fixed a problem in which automatically-generated pays display as changed, even though they weren't edited, when you process pays.</w:t>
      </w:r>
    </w:p>
    <w:p w14:paraId="59B4CD30" w14:textId="77777777" w:rsidR="00E34917" w:rsidRDefault="00E34917" w:rsidP="00BE7B4C">
      <w:pPr>
        <w:pStyle w:val="Heading3"/>
        <w:ind w:left="567"/>
      </w:pPr>
      <w:bookmarkStart w:id="55" w:name="inventory"/>
      <w:bookmarkStart w:id="56" w:name="_Toc46232625"/>
      <w:bookmarkEnd w:id="55"/>
      <w:r>
        <w:t>Inventory</w:t>
      </w:r>
      <w:bookmarkEnd w:id="56"/>
    </w:p>
    <w:p w14:paraId="08309151" w14:textId="77777777" w:rsidR="00E34917" w:rsidRDefault="00E34917" w:rsidP="00BE7B4C">
      <w:pPr>
        <w:pStyle w:val="Compact"/>
        <w:numPr>
          <w:ilvl w:val="0"/>
          <w:numId w:val="27"/>
        </w:numPr>
        <w:ind w:left="993"/>
      </w:pPr>
      <w:r>
        <w:t xml:space="preserve">We've resolved </w:t>
      </w:r>
      <w:r w:rsidRPr="69146C7D">
        <w:rPr>
          <w:i/>
          <w:iCs/>
        </w:rPr>
        <w:t>Error 1090</w:t>
      </w:r>
      <w:r>
        <w:t xml:space="preserve"> on the Inventory Reorder Maintenance form. This error occurred when a user entered a </w:t>
      </w:r>
      <w:r w:rsidRPr="69146C7D">
        <w:rPr>
          <w:b/>
          <w:bCs/>
        </w:rPr>
        <w:t>Min Qty</w:t>
      </w:r>
      <w:r>
        <w:t xml:space="preserve"> and a </w:t>
      </w:r>
      <w:r w:rsidRPr="69146C7D">
        <w:rPr>
          <w:b/>
          <w:bCs/>
        </w:rPr>
        <w:t>Max Qty</w:t>
      </w:r>
      <w:r>
        <w:t xml:space="preserve">, then saved before moving out of the </w:t>
      </w:r>
      <w:r w:rsidRPr="69146C7D">
        <w:rPr>
          <w:b/>
          <w:bCs/>
        </w:rPr>
        <w:t>Max Qty</w:t>
      </w:r>
      <w:r>
        <w:t xml:space="preserve"> field to enter a value in the </w:t>
      </w:r>
      <w:r w:rsidRPr="69146C7D">
        <w:rPr>
          <w:b/>
          <w:bCs/>
        </w:rPr>
        <w:t>Economical Order</w:t>
      </w:r>
      <w:r>
        <w:t xml:space="preserve"> field.</w:t>
      </w:r>
    </w:p>
    <w:p w14:paraId="4A4392F6" w14:textId="77777777" w:rsidR="00E34917" w:rsidRDefault="00E34917" w:rsidP="00BE7B4C">
      <w:pPr>
        <w:pStyle w:val="Compact"/>
        <w:numPr>
          <w:ilvl w:val="0"/>
          <w:numId w:val="27"/>
        </w:numPr>
        <w:ind w:left="993"/>
      </w:pPr>
      <w:r>
        <w:t xml:space="preserve">We've fixed an issue in which the </w:t>
      </w:r>
      <w:r w:rsidRPr="69146C7D">
        <w:rPr>
          <w:i/>
          <w:iCs/>
        </w:rPr>
        <w:t>Kitset components not found</w:t>
      </w:r>
      <w:r>
        <w:t xml:space="preserve"> error displays when you try to delete or change a quantity or replace a kitset item on a Job Transfer transaction.</w:t>
      </w:r>
    </w:p>
    <w:p w14:paraId="1D69CC99" w14:textId="77777777" w:rsidR="00E34917" w:rsidRDefault="00E34917" w:rsidP="00BE7B4C">
      <w:pPr>
        <w:numPr>
          <w:ilvl w:val="0"/>
          <w:numId w:val="27"/>
        </w:numPr>
        <w:spacing w:before="0" w:after="200"/>
        <w:ind w:left="993"/>
      </w:pPr>
      <w:r>
        <w:t xml:space="preserve">When you drill down on the </w:t>
      </w:r>
      <w:r w:rsidRPr="69146C7D">
        <w:rPr>
          <w:b/>
          <w:bCs/>
        </w:rPr>
        <w:t>On-requisition</w:t>
      </w:r>
      <w:r>
        <w:t xml:space="preserve"> item on the Inventory Item Maintenance form, the Requisition Entry form opens with the </w:t>
      </w:r>
      <w:r w:rsidRPr="69146C7D">
        <w:rPr>
          <w:b/>
          <w:bCs/>
        </w:rPr>
        <w:t>Submitted</w:t>
      </w:r>
      <w:r>
        <w:t xml:space="preserve">, </w:t>
      </w:r>
      <w:r w:rsidRPr="69146C7D">
        <w:rPr>
          <w:b/>
          <w:bCs/>
        </w:rPr>
        <w:t>Confirmed</w:t>
      </w:r>
      <w:r>
        <w:t xml:space="preserve">, and </w:t>
      </w:r>
      <w:r w:rsidRPr="69146C7D">
        <w:rPr>
          <w:b/>
          <w:bCs/>
        </w:rPr>
        <w:t>Part Processed</w:t>
      </w:r>
      <w:r>
        <w:t xml:space="preserve"> options selected.</w:t>
      </w:r>
    </w:p>
    <w:p w14:paraId="7EDACC44" w14:textId="77777777" w:rsidR="00E34917" w:rsidRDefault="00E34917" w:rsidP="00BE7B4C">
      <w:pPr>
        <w:pStyle w:val="Compact"/>
        <w:numPr>
          <w:ilvl w:val="0"/>
          <w:numId w:val="26"/>
        </w:numPr>
        <w:ind w:left="993"/>
      </w:pPr>
      <w:r>
        <w:lastRenderedPageBreak/>
        <w:t xml:space="preserve">The requisition quantity is aligned with the calculation used when the </w:t>
      </w:r>
      <w:r w:rsidRPr="69146C7D">
        <w:rPr>
          <w:i/>
          <w:iCs/>
        </w:rPr>
        <w:t>Drill down on Requisition Quantity</w:t>
      </w:r>
      <w:r>
        <w:t xml:space="preserve"> displayed in Inventory Maintenance. The Requisition Enquiry form now opens and defaults the search criteria to the statuses of </w:t>
      </w:r>
      <w:r w:rsidRPr="69146C7D">
        <w:rPr>
          <w:b/>
          <w:bCs/>
        </w:rPr>
        <w:t>Submitted</w:t>
      </w:r>
      <w:r>
        <w:t xml:space="preserve">, </w:t>
      </w:r>
      <w:r w:rsidRPr="69146C7D">
        <w:rPr>
          <w:b/>
          <w:bCs/>
        </w:rPr>
        <w:t>Confirmed</w:t>
      </w:r>
      <w:r>
        <w:t xml:space="preserve">, and </w:t>
      </w:r>
      <w:r w:rsidRPr="69146C7D">
        <w:rPr>
          <w:b/>
          <w:bCs/>
        </w:rPr>
        <w:t>Part Processed</w:t>
      </w:r>
      <w:r>
        <w:t>.</w:t>
      </w:r>
    </w:p>
    <w:p w14:paraId="2ADB3FDF" w14:textId="77777777" w:rsidR="00E34917" w:rsidRDefault="00E34917" w:rsidP="00BE7B4C">
      <w:pPr>
        <w:numPr>
          <w:ilvl w:val="0"/>
          <w:numId w:val="27"/>
        </w:numPr>
        <w:spacing w:before="0" w:after="200"/>
        <w:ind w:left="1418"/>
      </w:pPr>
      <w:r>
        <w:t>Loading location balances by lot number is now faster.</w:t>
      </w:r>
    </w:p>
    <w:p w14:paraId="382E0888" w14:textId="77777777" w:rsidR="00E34917" w:rsidRDefault="00E34917" w:rsidP="00BE7B4C">
      <w:pPr>
        <w:pStyle w:val="Heading3"/>
        <w:ind w:left="567"/>
      </w:pPr>
      <w:bookmarkStart w:id="57" w:name="jade-utilities"/>
      <w:bookmarkStart w:id="58" w:name="_Toc46232626"/>
      <w:bookmarkEnd w:id="57"/>
      <w:r>
        <w:t>JADE Utilities</w:t>
      </w:r>
      <w:bookmarkEnd w:id="58"/>
    </w:p>
    <w:p w14:paraId="590A1DED" w14:textId="77777777" w:rsidR="00E34917" w:rsidRDefault="00E34917" w:rsidP="00BE7B4C">
      <w:pPr>
        <w:pStyle w:val="FirstParagraph"/>
        <w:ind w:left="567"/>
      </w:pPr>
      <w:r>
        <w:t>We've resolved these issues:</w:t>
      </w:r>
    </w:p>
    <w:p w14:paraId="742AE2BD" w14:textId="77777777" w:rsidR="00E34917" w:rsidRDefault="00E34917" w:rsidP="00BE7B4C">
      <w:pPr>
        <w:pStyle w:val="Compact"/>
        <w:numPr>
          <w:ilvl w:val="0"/>
          <w:numId w:val="27"/>
        </w:numPr>
        <w:ind w:left="993"/>
      </w:pPr>
      <w:r>
        <w:t>An error on a browser form that caused the screen re-</w:t>
      </w:r>
      <w:proofErr w:type="spellStart"/>
      <w:r>
        <w:t>optimisation</w:t>
      </w:r>
      <w:proofErr w:type="spellEnd"/>
      <w:r>
        <w:t xml:space="preserve"> phase to stop and display the error </w:t>
      </w:r>
      <w:r w:rsidRPr="69146C7D">
        <w:rPr>
          <w:i/>
          <w:iCs/>
        </w:rPr>
        <w:t>CRM Product Code and Description search field</w:t>
      </w:r>
      <w:r>
        <w:t>.</w:t>
      </w:r>
    </w:p>
    <w:p w14:paraId="2C495E1A" w14:textId="77777777" w:rsidR="00E34917" w:rsidRDefault="00E34917" w:rsidP="00BE7B4C">
      <w:pPr>
        <w:pStyle w:val="Compact"/>
        <w:numPr>
          <w:ilvl w:val="0"/>
          <w:numId w:val="27"/>
        </w:numPr>
        <w:ind w:left="993"/>
      </w:pPr>
      <w:r>
        <w:t>A set of database errors that caused the upgrade process to crash.</w:t>
      </w:r>
    </w:p>
    <w:p w14:paraId="15ABE596" w14:textId="77777777" w:rsidR="00E34917" w:rsidRDefault="00E34917" w:rsidP="00BE7B4C">
      <w:pPr>
        <w:pStyle w:val="Compact"/>
        <w:numPr>
          <w:ilvl w:val="0"/>
          <w:numId w:val="27"/>
        </w:numPr>
        <w:ind w:left="993"/>
      </w:pPr>
      <w:r>
        <w:t>A small number of database errors that were introduced during the upgrade to version 2017.2.0.</w:t>
      </w:r>
    </w:p>
    <w:p w14:paraId="7E9372AC" w14:textId="77777777" w:rsidR="00E34917" w:rsidRDefault="00E34917" w:rsidP="00BE7B4C">
      <w:pPr>
        <w:pStyle w:val="Heading3"/>
        <w:ind w:left="567"/>
      </w:pPr>
      <w:bookmarkStart w:id="59" w:name="job-cost"/>
      <w:bookmarkStart w:id="60" w:name="_Toc46232627"/>
      <w:bookmarkEnd w:id="59"/>
      <w:r>
        <w:t>Job Cost</w:t>
      </w:r>
      <w:bookmarkEnd w:id="60"/>
    </w:p>
    <w:p w14:paraId="79A31FC0" w14:textId="77777777" w:rsidR="00E34917" w:rsidRDefault="00E34917" w:rsidP="00BE7B4C">
      <w:pPr>
        <w:pStyle w:val="Compact"/>
        <w:numPr>
          <w:ilvl w:val="0"/>
          <w:numId w:val="27"/>
        </w:numPr>
        <w:ind w:left="993"/>
      </w:pPr>
      <w:r w:rsidRPr="69146C7D">
        <w:rPr>
          <w:i/>
          <w:iCs/>
        </w:rPr>
        <w:t>Error 1090 Attempted Access via Null object</w:t>
      </w:r>
      <w:r>
        <w:t xml:space="preserve"> no longer displays when you save and reload the JC Job Template form after creating a template.</w:t>
      </w:r>
    </w:p>
    <w:p w14:paraId="0205FEEB" w14:textId="77777777" w:rsidR="00E34917" w:rsidRDefault="00E34917" w:rsidP="00BE7B4C">
      <w:pPr>
        <w:pStyle w:val="Compact"/>
        <w:numPr>
          <w:ilvl w:val="0"/>
          <w:numId w:val="27"/>
        </w:numPr>
        <w:ind w:left="993"/>
      </w:pPr>
      <w:r w:rsidRPr="69146C7D">
        <w:rPr>
          <w:i/>
          <w:iCs/>
        </w:rPr>
        <w:t>Error 1309 - Object already added to this set or dictionary</w:t>
      </w:r>
      <w:r>
        <w:t xml:space="preserve"> no longer occurs when you click </w:t>
      </w:r>
      <w:r w:rsidRPr="69146C7D">
        <w:rPr>
          <w:b/>
          <w:bCs/>
        </w:rPr>
        <w:t>Create Sales Invoice</w:t>
      </w:r>
      <w:r>
        <w:t xml:space="preserve"> on the JC AR Invoice Entry form.</w:t>
      </w:r>
    </w:p>
    <w:p w14:paraId="3B111BB8" w14:textId="77777777" w:rsidR="00E34917" w:rsidRDefault="00E34917" w:rsidP="00BE7B4C">
      <w:pPr>
        <w:pStyle w:val="Compact"/>
        <w:numPr>
          <w:ilvl w:val="0"/>
          <w:numId w:val="27"/>
        </w:numPr>
        <w:ind w:left="993"/>
      </w:pPr>
      <w:r>
        <w:t>We've fixed an issue with the Plant Charges Entry form where a posting date was saved and then updated to a different period, the general ledger's transaction date was not updating, and the general ledger's trial balance was out of balance.</w:t>
      </w:r>
    </w:p>
    <w:p w14:paraId="1A612AFB" w14:textId="77777777" w:rsidR="00E34917" w:rsidRDefault="00E34917" w:rsidP="00BE7B4C">
      <w:pPr>
        <w:pStyle w:val="Heading3"/>
        <w:ind w:left="567"/>
      </w:pPr>
      <w:bookmarkStart w:id="61" w:name="mobility"/>
      <w:bookmarkStart w:id="62" w:name="_Toc46232628"/>
      <w:bookmarkEnd w:id="61"/>
      <w:r>
        <w:t>Mobility</w:t>
      </w:r>
      <w:bookmarkEnd w:id="62"/>
    </w:p>
    <w:p w14:paraId="1CBA8E17" w14:textId="77777777" w:rsidR="00E34917" w:rsidRDefault="00E34917" w:rsidP="00BE7B4C">
      <w:pPr>
        <w:pStyle w:val="Compact"/>
        <w:numPr>
          <w:ilvl w:val="0"/>
          <w:numId w:val="27"/>
        </w:numPr>
        <w:ind w:left="993"/>
      </w:pPr>
      <w:r>
        <w:t xml:space="preserve">We've resolved </w:t>
      </w:r>
      <w:r w:rsidRPr="69146C7D">
        <w:rPr>
          <w:i/>
          <w:iCs/>
        </w:rPr>
        <w:t>Error 193</w:t>
      </w:r>
      <w:r>
        <w:t xml:space="preserve"> on mobile devices that try to connect to Greentree.</w:t>
      </w:r>
    </w:p>
    <w:p w14:paraId="3BE9D6F5" w14:textId="77777777" w:rsidR="00E34917" w:rsidRDefault="00E34917" w:rsidP="00BE7B4C">
      <w:pPr>
        <w:pStyle w:val="Compact"/>
        <w:numPr>
          <w:ilvl w:val="0"/>
          <w:numId w:val="27"/>
        </w:numPr>
        <w:ind w:left="993"/>
      </w:pPr>
      <w:r>
        <w:t>We've fixed a fault in generating a packing slip from a sales order, which prevented users from picking lot-controlled kitset components.</w:t>
      </w:r>
    </w:p>
    <w:p w14:paraId="14E83D3D" w14:textId="77777777" w:rsidR="00E34917" w:rsidRDefault="00E34917" w:rsidP="00BE7B4C">
      <w:pPr>
        <w:pStyle w:val="Heading3"/>
        <w:pageBreakBefore/>
        <w:ind w:left="567"/>
      </w:pPr>
      <w:bookmarkStart w:id="63" w:name="reporting"/>
      <w:bookmarkStart w:id="64" w:name="_Toc46232629"/>
      <w:bookmarkEnd w:id="63"/>
      <w:r>
        <w:lastRenderedPageBreak/>
        <w:t>Reporting</w:t>
      </w:r>
      <w:bookmarkEnd w:id="64"/>
    </w:p>
    <w:p w14:paraId="2C820489" w14:textId="77777777" w:rsidR="00E34917" w:rsidRDefault="00E34917" w:rsidP="00BE7B4C">
      <w:pPr>
        <w:pStyle w:val="Compact"/>
        <w:numPr>
          <w:ilvl w:val="0"/>
          <w:numId w:val="27"/>
        </w:numPr>
        <w:ind w:left="993"/>
      </w:pPr>
      <w:r>
        <w:t xml:space="preserve">When you delete data in a Query report, clicking </w:t>
      </w:r>
      <w:r w:rsidRPr="69146C7D">
        <w:rPr>
          <w:b/>
          <w:bCs/>
        </w:rPr>
        <w:t>Cancel</w:t>
      </w:r>
      <w:r>
        <w:t xml:space="preserve"> now stops the deletion process. If you try to delete data in the Results table using a JADE query, </w:t>
      </w:r>
      <w:r w:rsidRPr="69146C7D">
        <w:rPr>
          <w:i/>
          <w:iCs/>
        </w:rPr>
        <w:t>Error 4</w:t>
      </w:r>
      <w:r>
        <w:t xml:space="preserve"> no longer displays.</w:t>
      </w:r>
    </w:p>
    <w:p w14:paraId="12F4B82A" w14:textId="77777777" w:rsidR="00E34917" w:rsidRDefault="00E34917" w:rsidP="00BE7B4C">
      <w:pPr>
        <w:pStyle w:val="Compact"/>
        <w:numPr>
          <w:ilvl w:val="0"/>
          <w:numId w:val="27"/>
        </w:numPr>
        <w:ind w:left="993"/>
      </w:pPr>
      <w:r>
        <w:t xml:space="preserve">We've fixed a problem where Greentree entered a loop when reporting on an </w:t>
      </w:r>
      <w:proofErr w:type="spellStart"/>
      <w:r>
        <w:t>HRPersonSchedule</w:t>
      </w:r>
      <w:proofErr w:type="spellEnd"/>
      <w:r>
        <w:t xml:space="preserve"> with a schedule type of </w:t>
      </w:r>
      <w:r w:rsidRPr="69146C7D">
        <w:rPr>
          <w:i/>
          <w:iCs/>
        </w:rPr>
        <w:t>Recurring</w:t>
      </w:r>
      <w:r>
        <w:t xml:space="preserve"> and with the </w:t>
      </w:r>
      <w:proofErr w:type="spellStart"/>
      <w:r w:rsidRPr="69146C7D">
        <w:rPr>
          <w:b/>
          <w:bCs/>
        </w:rPr>
        <w:t>isCompleted</w:t>
      </w:r>
      <w:proofErr w:type="spellEnd"/>
      <w:r>
        <w:t xml:space="preserve"> option selected.</w:t>
      </w:r>
    </w:p>
    <w:p w14:paraId="5149E62B" w14:textId="77777777" w:rsidR="00E34917" w:rsidRDefault="00E34917" w:rsidP="00BE7B4C">
      <w:pPr>
        <w:pStyle w:val="Heading3"/>
        <w:ind w:left="567"/>
      </w:pPr>
      <w:bookmarkStart w:id="65" w:name="windows-designer"/>
      <w:bookmarkStart w:id="66" w:name="_Toc46232630"/>
      <w:bookmarkEnd w:id="65"/>
      <w:r>
        <w:t>Windows Designer</w:t>
      </w:r>
      <w:bookmarkEnd w:id="66"/>
    </w:p>
    <w:p w14:paraId="1B0FE155" w14:textId="77777777" w:rsidR="00E34917" w:rsidRDefault="00E34917" w:rsidP="00BE7B4C">
      <w:pPr>
        <w:pStyle w:val="Compact"/>
        <w:numPr>
          <w:ilvl w:val="0"/>
          <w:numId w:val="27"/>
        </w:numPr>
        <w:ind w:left="1134"/>
      </w:pPr>
      <w:r>
        <w:t xml:space="preserve">You can once again use Windows Designer to customise forms that VADs have </w:t>
      </w:r>
      <w:proofErr w:type="spellStart"/>
      <w:r>
        <w:t>subclassed</w:t>
      </w:r>
      <w:proofErr w:type="spellEnd"/>
      <w:r>
        <w:t>.</w:t>
      </w:r>
    </w:p>
    <w:p w14:paraId="4B4427F6" w14:textId="77777777" w:rsidR="00E34917" w:rsidRDefault="00E34917" w:rsidP="00BE7B4C">
      <w:pPr>
        <w:pStyle w:val="Compact"/>
        <w:numPr>
          <w:ilvl w:val="0"/>
          <w:numId w:val="27"/>
        </w:numPr>
        <w:ind w:left="1134"/>
      </w:pPr>
      <w:r>
        <w:t>We've fixed a problem in which a user-defined field that was moved using Windows Designer appears in the top-right corner of a form when you drill down to:</w:t>
      </w:r>
    </w:p>
    <w:p w14:paraId="10BDD70C" w14:textId="77777777" w:rsidR="00E34917" w:rsidRDefault="00E34917" w:rsidP="00BE7B4C">
      <w:pPr>
        <w:pStyle w:val="Compact"/>
        <w:numPr>
          <w:ilvl w:val="0"/>
          <w:numId w:val="27"/>
        </w:numPr>
        <w:ind w:left="1560"/>
      </w:pPr>
      <w:r>
        <w:t>A form from the Workflow Desktop or an alert collection, or</w:t>
      </w:r>
    </w:p>
    <w:p w14:paraId="5DEF9032" w14:textId="77777777" w:rsidR="00E34917" w:rsidRDefault="00E34917" w:rsidP="00BE7B4C">
      <w:pPr>
        <w:pStyle w:val="Compact"/>
        <w:numPr>
          <w:ilvl w:val="0"/>
          <w:numId w:val="27"/>
        </w:numPr>
        <w:ind w:left="1560"/>
      </w:pPr>
      <w:r>
        <w:t xml:space="preserve">A </w:t>
      </w:r>
      <w:proofErr w:type="spellStart"/>
      <w:r>
        <w:t>masterfile</w:t>
      </w:r>
      <w:proofErr w:type="spellEnd"/>
      <w:r>
        <w:t xml:space="preserve"> from a data entry form.</w:t>
      </w:r>
    </w:p>
    <w:p w14:paraId="4A7BA7C7" w14:textId="77777777" w:rsidR="00E34917" w:rsidRDefault="00E34917" w:rsidP="00BE7B4C">
      <w:pPr>
        <w:pStyle w:val="Compact"/>
        <w:numPr>
          <w:ilvl w:val="0"/>
          <w:numId w:val="27"/>
        </w:numPr>
        <w:ind w:left="1134"/>
      </w:pPr>
      <w:r>
        <w:t xml:space="preserve">We've fixed an issue where the </w:t>
      </w:r>
      <w:r w:rsidRPr="69146C7D">
        <w:rPr>
          <w:i/>
          <w:iCs/>
        </w:rPr>
        <w:t>Designer</w:t>
      </w:r>
      <w:r>
        <w:t xml:space="preserve"> item was not available under the </w:t>
      </w:r>
      <w:r w:rsidRPr="69146C7D">
        <w:rPr>
          <w:b/>
          <w:bCs/>
        </w:rPr>
        <w:t xml:space="preserve">System &gt; </w:t>
      </w:r>
      <w:proofErr w:type="spellStart"/>
      <w:r w:rsidRPr="69146C7D">
        <w:rPr>
          <w:b/>
          <w:bCs/>
        </w:rPr>
        <w:t>Customisation</w:t>
      </w:r>
      <w:proofErr w:type="spellEnd"/>
      <w:r>
        <w:t xml:space="preserve"> menu.</w:t>
      </w:r>
    </w:p>
    <w:p w14:paraId="04E0606D" w14:textId="77777777" w:rsidR="00E34917" w:rsidRDefault="00E34917" w:rsidP="00BE7B4C">
      <w:pPr>
        <w:pStyle w:val="Heading3"/>
        <w:ind w:left="567"/>
      </w:pPr>
      <w:bookmarkStart w:id="67" w:name="various-fixes"/>
      <w:bookmarkStart w:id="68" w:name="_Toc46232631"/>
      <w:bookmarkEnd w:id="67"/>
      <w:r>
        <w:t>Various Fixes</w:t>
      </w:r>
      <w:bookmarkEnd w:id="68"/>
    </w:p>
    <w:p w14:paraId="2EDFF4FD" w14:textId="77777777" w:rsidR="00E34917" w:rsidRDefault="00E34917" w:rsidP="00BE7B4C">
      <w:pPr>
        <w:pStyle w:val="Compact"/>
        <w:numPr>
          <w:ilvl w:val="0"/>
          <w:numId w:val="27"/>
        </w:numPr>
        <w:ind w:left="993"/>
      </w:pPr>
      <w:r>
        <w:t xml:space="preserve">The message </w:t>
      </w:r>
      <w:r w:rsidRPr="69146C7D">
        <w:rPr>
          <w:i/>
          <w:iCs/>
        </w:rPr>
        <w:t>An error has occurred (4), object not found</w:t>
      </w:r>
      <w:r>
        <w:t xml:space="preserve"> no longer displays when you try to open the preferences forms.</w:t>
      </w:r>
    </w:p>
    <w:p w14:paraId="60C65B02" w14:textId="77777777" w:rsidR="00E34917" w:rsidRDefault="00E34917" w:rsidP="00BE7B4C">
      <w:pPr>
        <w:pStyle w:val="Compact"/>
        <w:numPr>
          <w:ilvl w:val="0"/>
          <w:numId w:val="27"/>
        </w:numPr>
        <w:ind w:left="993"/>
      </w:pPr>
      <w:r>
        <w:t xml:space="preserve">Pressing F6 to move to the next tab on a form no longer displays the error message </w:t>
      </w:r>
      <w:r w:rsidRPr="69146C7D">
        <w:rPr>
          <w:i/>
          <w:iCs/>
        </w:rPr>
        <w:t>Exception 1011 requested property not defined</w:t>
      </w:r>
      <w:r>
        <w:t>.</w:t>
      </w:r>
    </w:p>
    <w:p w14:paraId="349E5869" w14:textId="77777777" w:rsidR="00E34917" w:rsidRDefault="00E34917" w:rsidP="00BE7B4C">
      <w:pPr>
        <w:pStyle w:val="Compact"/>
        <w:numPr>
          <w:ilvl w:val="0"/>
          <w:numId w:val="27"/>
        </w:numPr>
        <w:ind w:left="993"/>
      </w:pPr>
      <w:r>
        <w:t xml:space="preserve">We've fixed an issue where clicking </w:t>
      </w:r>
      <w:r w:rsidRPr="69146C7D">
        <w:rPr>
          <w:b/>
          <w:bCs/>
        </w:rPr>
        <w:t>Cancel</w:t>
      </w:r>
      <w:r>
        <w:t xml:space="preserve"> when deleting data on a Query report did not stop the delete command from executing.</w:t>
      </w:r>
    </w:p>
    <w:p w14:paraId="39B27136" w14:textId="77777777" w:rsidR="00E34917" w:rsidRDefault="00E34917" w:rsidP="00BE7B4C">
      <w:pPr>
        <w:pStyle w:val="Compact"/>
        <w:numPr>
          <w:ilvl w:val="0"/>
          <w:numId w:val="27"/>
        </w:numPr>
        <w:ind w:left="993"/>
      </w:pPr>
      <w:r>
        <w:t xml:space="preserve">The error </w:t>
      </w:r>
      <w:r w:rsidRPr="69146C7D">
        <w:rPr>
          <w:i/>
          <w:iCs/>
        </w:rPr>
        <w:t>Break time cannot exceed work time</w:t>
      </w:r>
      <w:r>
        <w:t xml:space="preserve"> no longer displays when setting up split shifts on the Working Calendar Maintenance form.</w:t>
      </w:r>
    </w:p>
    <w:p w14:paraId="0DADFFE2" w14:textId="77777777" w:rsidR="00E34917" w:rsidRDefault="00E34917" w:rsidP="00BE7B4C">
      <w:pPr>
        <w:pStyle w:val="Compact"/>
        <w:numPr>
          <w:ilvl w:val="0"/>
          <w:numId w:val="27"/>
        </w:numPr>
        <w:ind w:left="993"/>
      </w:pPr>
      <w:r>
        <w:t>You can now export an Explorer report to XML without style errors. You can open the report in Microsoft Excel.</w:t>
      </w:r>
    </w:p>
    <w:p w14:paraId="673E3DB7" w14:textId="77777777" w:rsidR="00E34917" w:rsidRDefault="00E34917" w:rsidP="00BE7B4C">
      <w:pPr>
        <w:pStyle w:val="Compact"/>
        <w:numPr>
          <w:ilvl w:val="0"/>
          <w:numId w:val="27"/>
        </w:numPr>
        <w:ind w:left="993"/>
      </w:pPr>
      <w:r>
        <w:t>Debt collection emails in HTML format now generate correctly.</w:t>
      </w:r>
    </w:p>
    <w:p w14:paraId="59D293A9" w14:textId="77777777" w:rsidR="00E34917" w:rsidRDefault="00E34917" w:rsidP="00BE7B4C">
      <w:pPr>
        <w:pStyle w:val="Compact"/>
        <w:numPr>
          <w:ilvl w:val="0"/>
          <w:numId w:val="27"/>
        </w:numPr>
        <w:ind w:left="993"/>
      </w:pPr>
      <w:r>
        <w:t>The Print and Task queue no longer crashes when you run a refresh index task.</w:t>
      </w:r>
    </w:p>
    <w:p w14:paraId="7E778FBC" w14:textId="77777777" w:rsidR="00E34917" w:rsidRDefault="00E34917" w:rsidP="00BE7B4C">
      <w:pPr>
        <w:pStyle w:val="Compact"/>
        <w:numPr>
          <w:ilvl w:val="0"/>
          <w:numId w:val="27"/>
        </w:numPr>
        <w:ind w:left="993"/>
      </w:pPr>
      <w:r>
        <w:t>When you import a sales order into EDI, the sales order now uses the correct delivery address.</w:t>
      </w:r>
    </w:p>
    <w:p w14:paraId="4BD21B3A" w14:textId="77777777" w:rsidR="00E34917" w:rsidRDefault="00E34917" w:rsidP="00BE7B4C">
      <w:pPr>
        <w:pStyle w:val="Compact"/>
        <w:numPr>
          <w:ilvl w:val="0"/>
          <w:numId w:val="27"/>
        </w:numPr>
        <w:ind w:left="993"/>
      </w:pPr>
      <w:r w:rsidRPr="69146C7D">
        <w:rPr>
          <w:i/>
          <w:iCs/>
        </w:rPr>
        <w:t>Error 1090 - Attempted access via null object</w:t>
      </w:r>
      <w:r>
        <w:t xml:space="preserve"> no longer displays when you try to purge sales orders using sales order numbers or dates as criteria.</w:t>
      </w:r>
    </w:p>
    <w:p w14:paraId="566B6AB1" w14:textId="77777777" w:rsidR="00E34917" w:rsidRDefault="00E34917" w:rsidP="00BE7B4C">
      <w:pPr>
        <w:pStyle w:val="Compact"/>
        <w:numPr>
          <w:ilvl w:val="0"/>
          <w:numId w:val="27"/>
        </w:numPr>
        <w:ind w:left="993"/>
      </w:pPr>
      <w:r>
        <w:t xml:space="preserve">When you copy a requisition on the Requisition Entry form, the </w:t>
      </w:r>
      <w:proofErr w:type="spellStart"/>
      <w:r w:rsidRPr="69146C7D">
        <w:rPr>
          <w:b/>
          <w:bCs/>
        </w:rPr>
        <w:t>Reqn</w:t>
      </w:r>
      <w:proofErr w:type="spellEnd"/>
      <w:r w:rsidRPr="69146C7D">
        <w:rPr>
          <w:b/>
          <w:bCs/>
        </w:rPr>
        <w:t>. Date</w:t>
      </w:r>
      <w:r>
        <w:t xml:space="preserve"> and </w:t>
      </w:r>
      <w:r w:rsidRPr="69146C7D">
        <w:rPr>
          <w:b/>
          <w:bCs/>
        </w:rPr>
        <w:t>Expected Date</w:t>
      </w:r>
      <w:r>
        <w:t xml:space="preserve"> fields contain the date on which you made the copy.</w:t>
      </w:r>
    </w:p>
    <w:p w14:paraId="6304FE46" w14:textId="77777777" w:rsidR="00BE7B4C" w:rsidRDefault="00BE7B4C">
      <w:pPr>
        <w:spacing w:before="0" w:after="0"/>
        <w:ind w:left="0"/>
        <w:rPr>
          <w:rFonts w:ascii="Neutro MYOB Medium" w:hAnsi="Neutro MYOB Medium" w:cs="Stone Sans"/>
          <w:bCs/>
          <w:color w:val="8241AA"/>
          <w:sz w:val="48"/>
          <w:szCs w:val="48"/>
          <w:lang w:val="en-AU"/>
        </w:rPr>
      </w:pPr>
      <w:bookmarkStart w:id="69" w:name="bug-fixes---greentree-browser"/>
      <w:bookmarkEnd w:id="69"/>
      <w:r>
        <w:br w:type="page"/>
      </w:r>
    </w:p>
    <w:p w14:paraId="71E8F458" w14:textId="580C1817" w:rsidR="00E34917" w:rsidRDefault="00E34917" w:rsidP="00BE7B4C">
      <w:pPr>
        <w:pStyle w:val="Heading1"/>
        <w:ind w:left="851"/>
      </w:pPr>
      <w:bookmarkStart w:id="70" w:name="_Toc46232632"/>
      <w:r>
        <w:lastRenderedPageBreak/>
        <w:t>Bug Fixes - Greentree Browser</w:t>
      </w:r>
      <w:bookmarkEnd w:id="70"/>
    </w:p>
    <w:p w14:paraId="10F2D154" w14:textId="77777777" w:rsidR="00E34917" w:rsidRDefault="00E34917" w:rsidP="00BE7B4C">
      <w:pPr>
        <w:pStyle w:val="FirstParagraph"/>
        <w:ind w:left="567"/>
      </w:pPr>
      <w:r>
        <w:t>We've fixed these issues in Greentree Browser:</w:t>
      </w:r>
    </w:p>
    <w:p w14:paraId="4E5532A5" w14:textId="77777777" w:rsidR="00E34917" w:rsidRDefault="00E34917" w:rsidP="00BE7B4C">
      <w:pPr>
        <w:pStyle w:val="Compact"/>
        <w:numPr>
          <w:ilvl w:val="0"/>
          <w:numId w:val="27"/>
        </w:numPr>
        <w:ind w:left="993"/>
      </w:pPr>
      <w:r>
        <w:t xml:space="preserve">When entering lines for sales and service quotes or sales orders, the </w:t>
      </w:r>
      <w:r w:rsidRPr="69146C7D">
        <w:rPr>
          <w:b/>
          <w:bCs/>
        </w:rPr>
        <w:t>Unit Price</w:t>
      </w:r>
      <w:r>
        <w:t xml:space="preserve"> remains unchanged when you click between the </w:t>
      </w:r>
      <w:r w:rsidRPr="69146C7D">
        <w:rPr>
          <w:b/>
          <w:bCs/>
        </w:rPr>
        <w:t>Amount</w:t>
      </w:r>
      <w:r>
        <w:t xml:space="preserve"> and </w:t>
      </w:r>
      <w:r w:rsidRPr="69146C7D">
        <w:rPr>
          <w:b/>
          <w:bCs/>
        </w:rPr>
        <w:t>Quantity</w:t>
      </w:r>
      <w:r>
        <w:t xml:space="preserve"> fields.</w:t>
      </w:r>
    </w:p>
    <w:p w14:paraId="3584C772" w14:textId="77777777" w:rsidR="00E34917" w:rsidRDefault="00E34917" w:rsidP="00BE7B4C">
      <w:pPr>
        <w:pStyle w:val="Compact"/>
        <w:numPr>
          <w:ilvl w:val="0"/>
          <w:numId w:val="27"/>
        </w:numPr>
        <w:ind w:left="993"/>
      </w:pPr>
      <w:r>
        <w:t>We've fixed a bug in which the Browser Designer module wasn't available to sites that are licensed for it.</w:t>
      </w:r>
    </w:p>
    <w:p w14:paraId="41E442A5" w14:textId="77777777" w:rsidR="00E34917" w:rsidRDefault="00E34917" w:rsidP="00BE7B4C">
      <w:pPr>
        <w:pStyle w:val="Compact"/>
        <w:numPr>
          <w:ilvl w:val="0"/>
          <w:numId w:val="27"/>
        </w:numPr>
        <w:ind w:left="993"/>
      </w:pPr>
      <w:r>
        <w:t xml:space="preserve">After you've changed the stage of a quote or added a tree or a user-defined field to a quote, you can now close the quote form by clicking the </w:t>
      </w:r>
      <w:r w:rsidRPr="69146C7D">
        <w:rPr>
          <w:b/>
          <w:bCs/>
        </w:rPr>
        <w:t>Close</w:t>
      </w:r>
      <w:r>
        <w:t xml:space="preserve"> icon. </w:t>
      </w:r>
    </w:p>
    <w:p w14:paraId="6CDD92CC" w14:textId="77777777" w:rsidR="00E34917" w:rsidRDefault="00E34917" w:rsidP="00BE7B4C">
      <w:pPr>
        <w:pStyle w:val="Compact"/>
        <w:numPr>
          <w:ilvl w:val="0"/>
          <w:numId w:val="27"/>
        </w:numPr>
        <w:ind w:left="993"/>
      </w:pPr>
      <w:r w:rsidRPr="69146C7D">
        <w:rPr>
          <w:i/>
          <w:iCs/>
        </w:rPr>
        <w:t>Error 1090</w:t>
      </w:r>
      <w:r>
        <w:t xml:space="preserve"> no longer displays when you submit a leave request when logged into Greentree Browser using Internet Explorer.</w:t>
      </w:r>
    </w:p>
    <w:p w14:paraId="0B559AAB" w14:textId="77777777" w:rsidR="00E34917" w:rsidRDefault="00E34917" w:rsidP="00BE7B4C">
      <w:pPr>
        <w:pStyle w:val="Compact"/>
        <w:numPr>
          <w:ilvl w:val="0"/>
          <w:numId w:val="27"/>
        </w:numPr>
        <w:ind w:left="993"/>
      </w:pPr>
      <w:r>
        <w:t>We've fixed a bug that prevented users from closing a quote after changing the stage or adding an attribute (like a tree or a user-defined field) to the quote.</w:t>
      </w:r>
    </w:p>
    <w:bookmarkEnd w:id="9"/>
    <w:p w14:paraId="5291D6F2" w14:textId="77777777" w:rsidR="00E34917" w:rsidRPr="00E34917" w:rsidRDefault="00E34917" w:rsidP="00BE7B4C">
      <w:pPr>
        <w:ind w:left="567"/>
        <w:rPr>
          <w:lang w:val="en-AU"/>
        </w:rPr>
      </w:pPr>
    </w:p>
    <w:sectPr w:rsidR="00E34917" w:rsidRPr="00E34917" w:rsidSect="00E34917">
      <w:headerReference w:type="even" r:id="rId42"/>
      <w:headerReference w:type="default" r:id="rId43"/>
      <w:footerReference w:type="default" r:id="rId44"/>
      <w:headerReference w:type="first" r:id="rId45"/>
      <w:footerReference w:type="first" r:id="rId46"/>
      <w:pgSz w:w="11906" w:h="16838" w:code="9"/>
      <w:pgMar w:top="1134" w:right="1134" w:bottom="1134" w:left="1418"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CBAF9" w14:textId="77777777" w:rsidR="00C53B3A" w:rsidRDefault="00C53B3A" w:rsidP="007F37E9">
      <w:r>
        <w:separator/>
      </w:r>
    </w:p>
  </w:endnote>
  <w:endnote w:type="continuationSeparator" w:id="0">
    <w:p w14:paraId="32D15BCF" w14:textId="77777777" w:rsidR="00C53B3A" w:rsidRDefault="00C53B3A" w:rsidP="007F37E9">
      <w:r>
        <w:continuationSeparator/>
      </w:r>
    </w:p>
  </w:endnote>
  <w:endnote w:type="continuationNotice" w:id="1">
    <w:p w14:paraId="59B5FB26" w14:textId="77777777" w:rsidR="00C53B3A" w:rsidRDefault="00C53B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B6F01891-2502-487F-AAF9-9311BF5EFD04}"/>
    <w:embedBold r:id="rId2" w:fontKey="{F74440E6-5109-4BE1-B9E1-B94E34DC1568}"/>
    <w:embedItalic r:id="rId3" w:fontKey="{262A5BE7-D86D-4A5F-BD98-C9CD6147758A}"/>
    <w:embedBoldItalic r:id="rId4" w:fontKey="{280ADFC4-C875-46D7-9914-31A1366BA303}"/>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0E4" w14:textId="77777777" w:rsidR="00E34917" w:rsidRPr="00A360D6" w:rsidRDefault="00E34917"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245B" w14:textId="77777777" w:rsidR="00E34917" w:rsidRPr="00A14D2A" w:rsidRDefault="00E34917"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DD9E" w14:textId="044C9306" w:rsidR="00E34917" w:rsidRPr="0022001C" w:rsidRDefault="00E34917"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Content>
        <w:r>
          <w:t>MYOB</w:t>
        </w:r>
      </w:sdtContent>
    </w:sdt>
    <w:r>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Content>
        <w:r>
          <w:t>Greentree</w:t>
        </w:r>
      </w:sdtContent>
    </w:sdt>
    <w:r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Content>
        <w:r>
          <w:t>2018.3.0</w:t>
        </w:r>
      </w:sdtContent>
    </w:sdt>
    <w:r>
      <w:tab/>
      <w:t xml:space="preserve"> </w:t>
    </w:r>
    <w:r w:rsidRPr="0022001C">
      <w:t xml:space="preserve">Page </w:t>
    </w:r>
    <w:r>
      <w:fldChar w:fldCharType="begin"/>
    </w:r>
    <w:r>
      <w:instrText xml:space="preserve"> PAGE   \* MERGEFORMAT </w:instrText>
    </w:r>
    <w:r>
      <w:fldChar w:fldCharType="separate"/>
    </w:r>
    <w:r>
      <w:t>1</w:t>
    </w:r>
    <w:r>
      <w:rPr>
        <w:noProof/>
      </w:rPr>
      <w:fldChar w:fldCharType="end"/>
    </w:r>
    <w:r w:rsidRPr="0022001C">
      <w:t xml:space="preserve"> of </w:t>
    </w:r>
    <w:r w:rsidRPr="0022001C">
      <w:fldChar w:fldCharType="begin"/>
    </w:r>
    <w:r w:rsidRPr="0022001C">
      <w:instrText xml:space="preserve"> = </w:instrText>
    </w:r>
    <w:r>
      <w:rPr>
        <w:noProof/>
      </w:rPr>
      <w:fldChar w:fldCharType="begin"/>
    </w:r>
    <w:r>
      <w:rPr>
        <w:noProof/>
      </w:rPr>
      <w:instrText xml:space="preserve"> NUMPAGES </w:instrText>
    </w:r>
    <w:r>
      <w:rPr>
        <w:noProof/>
      </w:rPr>
      <w:fldChar w:fldCharType="separate"/>
    </w:r>
    <w:r w:rsidR="00BE7B4C">
      <w:rPr>
        <w:noProof/>
      </w:rPr>
      <w:instrText>20</w:instrText>
    </w:r>
    <w:r>
      <w:rPr>
        <w:noProof/>
      </w:rPr>
      <w:fldChar w:fldCharType="end"/>
    </w:r>
    <w:r w:rsidRPr="0022001C">
      <w:instrText xml:space="preserve"> </w:instrText>
    </w:r>
    <w:r>
      <w:instrText>- 2</w:instrText>
    </w:r>
    <w:r w:rsidRPr="0022001C">
      <w:fldChar w:fldCharType="separate"/>
    </w:r>
    <w:r w:rsidR="00BE7B4C">
      <w:rPr>
        <w:noProof/>
      </w:rPr>
      <w:t>18</w:t>
    </w:r>
    <w:r w:rsidRPr="0022001C">
      <w:fldChar w:fldCharType="end"/>
    </w:r>
  </w:p>
  <w:p w14:paraId="4DFAD961" w14:textId="0FAB602B" w:rsidR="00E34917" w:rsidRPr="00A14D2A" w:rsidRDefault="00E34917"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BE7B4C">
      <w:rPr>
        <w:noProof/>
      </w:rPr>
      <w:t>2020</w:t>
    </w:r>
    <w:r>
      <w:rPr>
        <w:noProof/>
      </w:rPr>
      <w:fldChar w:fldCharType="end"/>
    </w:r>
    <w:r>
      <w:t xml:space="preserve"> MYOB Technology Pty Ltd.</w:t>
    </w:r>
  </w:p>
  <w:p w14:paraId="2B72360E" w14:textId="77777777" w:rsidR="00E34917" w:rsidRPr="00A360D6" w:rsidRDefault="00E34917"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6C10" w14:textId="2F1613EF" w:rsidR="00E34917" w:rsidRPr="0022001C" w:rsidRDefault="00E34917"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Content>
        <w:r>
          <w:t>MYOB</w:t>
        </w:r>
      </w:sdtContent>
    </w:sdt>
    <w:r>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Content>
        <w:r>
          <w:t>Greentree</w:t>
        </w:r>
      </w:sdtContent>
    </w:sdt>
    <w:r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Content>
        <w:r>
          <w:t>2018.3.0</w:t>
        </w:r>
      </w:sdtContent>
    </w:sdt>
    <w:r>
      <w:tab/>
    </w:r>
    <w:r w:rsidRPr="0022001C">
      <w:t xml:space="preserve">Page </w:t>
    </w:r>
    <w:r>
      <w:fldChar w:fldCharType="begin"/>
    </w:r>
    <w:r>
      <w:instrText xml:space="preserve"> PAGE   \* MERGEFORMAT </w:instrText>
    </w:r>
    <w:r>
      <w:fldChar w:fldCharType="separate"/>
    </w:r>
    <w:r>
      <w:rPr>
        <w:noProof/>
      </w:rPr>
      <w:t>14</w:t>
    </w:r>
    <w:r>
      <w:rPr>
        <w:noProof/>
      </w:rPr>
      <w:fldChar w:fldCharType="end"/>
    </w:r>
    <w:r w:rsidRPr="0022001C">
      <w:t xml:space="preserve"> of </w:t>
    </w:r>
    <w:r w:rsidRPr="0022001C">
      <w:fldChar w:fldCharType="begin"/>
    </w:r>
    <w:r w:rsidRPr="0022001C">
      <w:instrText xml:space="preserve"> = </w:instrText>
    </w:r>
    <w:r>
      <w:rPr>
        <w:noProof/>
      </w:rPr>
      <w:fldChar w:fldCharType="begin"/>
    </w:r>
    <w:r>
      <w:rPr>
        <w:noProof/>
      </w:rPr>
      <w:instrText xml:space="preserve"> NUMPAGES </w:instrText>
    </w:r>
    <w:r>
      <w:rPr>
        <w:noProof/>
      </w:rPr>
      <w:fldChar w:fldCharType="separate"/>
    </w:r>
    <w:r w:rsidR="00BE7B4C">
      <w:rPr>
        <w:noProof/>
      </w:rPr>
      <w:instrText>20</w:instrText>
    </w:r>
    <w:r>
      <w:rPr>
        <w:noProof/>
      </w:rPr>
      <w:fldChar w:fldCharType="end"/>
    </w:r>
    <w:r w:rsidRPr="0022001C">
      <w:instrText xml:space="preserve"> </w:instrText>
    </w:r>
    <w:r>
      <w:instrText>- 2</w:instrText>
    </w:r>
    <w:r w:rsidRPr="0022001C">
      <w:fldChar w:fldCharType="separate"/>
    </w:r>
    <w:r w:rsidR="00BE7B4C">
      <w:rPr>
        <w:noProof/>
      </w:rPr>
      <w:t>18</w:t>
    </w:r>
    <w:r w:rsidRPr="0022001C">
      <w:fldChar w:fldCharType="end"/>
    </w:r>
  </w:p>
  <w:p w14:paraId="0617810D" w14:textId="4A867FCA" w:rsidR="00E34917" w:rsidRPr="00A14D2A" w:rsidRDefault="00E34917"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BE7B4C">
      <w:rPr>
        <w:noProof/>
      </w:rPr>
      <w:t>2020</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25199" w14:textId="77777777" w:rsidR="00C53B3A" w:rsidRDefault="00C53B3A" w:rsidP="007F37E9">
      <w:r>
        <w:separator/>
      </w:r>
    </w:p>
  </w:footnote>
  <w:footnote w:type="continuationSeparator" w:id="0">
    <w:p w14:paraId="582C093B" w14:textId="77777777" w:rsidR="00C53B3A" w:rsidRDefault="00C53B3A" w:rsidP="007F37E9">
      <w:r>
        <w:continuationSeparator/>
      </w:r>
    </w:p>
  </w:footnote>
  <w:footnote w:type="continuationNotice" w:id="1">
    <w:p w14:paraId="1E76AD1B" w14:textId="77777777" w:rsidR="00C53B3A" w:rsidRDefault="00C53B3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83D" w14:textId="77777777" w:rsidR="00E34917" w:rsidRDefault="00E34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62BE" w14:textId="41FB640D" w:rsidR="00E34917" w:rsidRDefault="00E34917" w:rsidP="00590F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2D87" w14:textId="77777777" w:rsidR="00E34917" w:rsidRPr="001B391B" w:rsidRDefault="00E34917" w:rsidP="00590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A640154"/>
    <w:multiLevelType w:val="multilevel"/>
    <w:tmpl w:val="897A774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E17F69BA"/>
    <w:multiLevelType w:val="multilevel"/>
    <w:tmpl w:val="A914E6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7B3818F"/>
    <w:multiLevelType w:val="multilevel"/>
    <w:tmpl w:val="F4A893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276EDD"/>
    <w:multiLevelType w:val="multilevel"/>
    <w:tmpl w:val="8FF2D3B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5"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6"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7"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8"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13"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4"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5"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752812"/>
    <w:multiLevelType w:val="hybridMultilevel"/>
    <w:tmpl w:val="EDEAB4D8"/>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21"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22"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9CA3844"/>
    <w:multiLevelType w:val="hybridMultilevel"/>
    <w:tmpl w:val="A49CA8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D91AE74"/>
    <w:multiLevelType w:val="multilevel"/>
    <w:tmpl w:val="776E43E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71DB6296"/>
    <w:multiLevelType w:val="multilevel"/>
    <w:tmpl w:val="8CFACEA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728F2F12"/>
    <w:multiLevelType w:val="multilevel"/>
    <w:tmpl w:val="97CE31FA"/>
    <w:lvl w:ilvl="0">
      <w:start w:val="1"/>
      <w:numFmt w:val="decimal"/>
      <w:pStyle w:val="Note"/>
      <w:lvlText w:val="Note: "/>
      <w:lvlJc w:val="left"/>
      <w:pPr>
        <w:ind w:left="224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93EAE3"/>
    <w:multiLevelType w:val="multilevel"/>
    <w:tmpl w:val="58C2808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abstractNum w:abstractNumId="29" w15:restartNumberingAfterBreak="0">
    <w:nsid w:val="7CA59FBF"/>
    <w:multiLevelType w:val="multilevel"/>
    <w:tmpl w:val="8AFECA7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num w:numId="1">
    <w:abstractNumId w:val="28"/>
  </w:num>
  <w:num w:numId="2">
    <w:abstractNumId w:val="21"/>
  </w:num>
  <w:num w:numId="3">
    <w:abstractNumId w:val="15"/>
  </w:num>
  <w:num w:numId="4">
    <w:abstractNumId w:val="14"/>
  </w:num>
  <w:num w:numId="5">
    <w:abstractNumId w:val="18"/>
  </w:num>
  <w:num w:numId="6">
    <w:abstractNumId w:val="17"/>
  </w:num>
  <w:num w:numId="7">
    <w:abstractNumId w:val="13"/>
  </w:num>
  <w:num w:numId="8">
    <w:abstractNumId w:val="11"/>
  </w:num>
  <w:num w:numId="9">
    <w:abstractNumId w:val="10"/>
  </w:num>
  <w:num w:numId="10">
    <w:abstractNumId w:val="9"/>
  </w:num>
  <w:num w:numId="11">
    <w:abstractNumId w:val="8"/>
  </w:num>
  <w:num w:numId="12">
    <w:abstractNumId w:val="12"/>
  </w:num>
  <w:num w:numId="13">
    <w:abstractNumId w:val="7"/>
  </w:num>
  <w:num w:numId="14">
    <w:abstractNumId w:val="6"/>
  </w:num>
  <w:num w:numId="15">
    <w:abstractNumId w:val="5"/>
  </w:num>
  <w:num w:numId="16">
    <w:abstractNumId w:val="4"/>
  </w:num>
  <w:num w:numId="17">
    <w:abstractNumId w:val="19"/>
  </w:num>
  <w:num w:numId="18">
    <w:abstractNumId w:val="16"/>
  </w:num>
  <w:num w:numId="19">
    <w:abstractNumId w:val="22"/>
  </w:num>
  <w:num w:numId="20">
    <w:abstractNumId w:val="26"/>
  </w:num>
  <w:num w:numId="21">
    <w:abstractNumId w:val="0"/>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3">
    <w:abstractNumId w:val="27"/>
  </w:num>
  <w:num w:numId="24">
    <w:abstractNumId w:val="24"/>
  </w:num>
  <w:num w:numId="25">
    <w:abstractNumId w:val="1"/>
  </w:num>
  <w:num w:numId="26">
    <w:abstractNumId w:val="2"/>
  </w:num>
  <w:num w:numId="27">
    <w:abstractNumId w:val="3"/>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0">
    <w:abstractNumId w:val="20"/>
  </w:num>
  <w:num w:numId="31">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2363"/>
    <w:rsid w:val="000024C7"/>
    <w:rsid w:val="00002D0D"/>
    <w:rsid w:val="00002E0B"/>
    <w:rsid w:val="00002F18"/>
    <w:rsid w:val="00003268"/>
    <w:rsid w:val="00003590"/>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47"/>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66F"/>
    <w:rsid w:val="00020980"/>
    <w:rsid w:val="00020CED"/>
    <w:rsid w:val="00020D63"/>
    <w:rsid w:val="00020DD7"/>
    <w:rsid w:val="00021129"/>
    <w:rsid w:val="000211F8"/>
    <w:rsid w:val="000216ED"/>
    <w:rsid w:val="00021967"/>
    <w:rsid w:val="00021BA9"/>
    <w:rsid w:val="00021F3B"/>
    <w:rsid w:val="00021F57"/>
    <w:rsid w:val="00021FD7"/>
    <w:rsid w:val="000220DD"/>
    <w:rsid w:val="000221B7"/>
    <w:rsid w:val="00022208"/>
    <w:rsid w:val="00022388"/>
    <w:rsid w:val="00022A91"/>
    <w:rsid w:val="00022A96"/>
    <w:rsid w:val="00023183"/>
    <w:rsid w:val="0002327D"/>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0F0"/>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6B7"/>
    <w:rsid w:val="00054754"/>
    <w:rsid w:val="000547DA"/>
    <w:rsid w:val="000547FB"/>
    <w:rsid w:val="00054B9D"/>
    <w:rsid w:val="00055250"/>
    <w:rsid w:val="00055962"/>
    <w:rsid w:val="00055BB0"/>
    <w:rsid w:val="00055E5F"/>
    <w:rsid w:val="00056231"/>
    <w:rsid w:val="00056355"/>
    <w:rsid w:val="000567EB"/>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D83"/>
    <w:rsid w:val="00073FA2"/>
    <w:rsid w:val="00073FFC"/>
    <w:rsid w:val="0007508B"/>
    <w:rsid w:val="000758A7"/>
    <w:rsid w:val="000759B6"/>
    <w:rsid w:val="00075C1B"/>
    <w:rsid w:val="00075CFE"/>
    <w:rsid w:val="00075E91"/>
    <w:rsid w:val="000763D8"/>
    <w:rsid w:val="000766D3"/>
    <w:rsid w:val="00076929"/>
    <w:rsid w:val="00076A53"/>
    <w:rsid w:val="00076B24"/>
    <w:rsid w:val="00076F17"/>
    <w:rsid w:val="00076F1F"/>
    <w:rsid w:val="00077B82"/>
    <w:rsid w:val="00077C98"/>
    <w:rsid w:val="00080432"/>
    <w:rsid w:val="000804D9"/>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6F9F"/>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D2"/>
    <w:rsid w:val="000928C3"/>
    <w:rsid w:val="00092BBB"/>
    <w:rsid w:val="00092D52"/>
    <w:rsid w:val="00093045"/>
    <w:rsid w:val="00093290"/>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4F"/>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A44"/>
    <w:rsid w:val="000F3FC5"/>
    <w:rsid w:val="000F4456"/>
    <w:rsid w:val="000F4B1D"/>
    <w:rsid w:val="000F4CF4"/>
    <w:rsid w:val="000F4EAF"/>
    <w:rsid w:val="000F5143"/>
    <w:rsid w:val="000F56A9"/>
    <w:rsid w:val="000F5733"/>
    <w:rsid w:val="000F5A74"/>
    <w:rsid w:val="000F5BE0"/>
    <w:rsid w:val="000F5CC8"/>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E2"/>
    <w:rsid w:val="001053FD"/>
    <w:rsid w:val="00105FA1"/>
    <w:rsid w:val="00106821"/>
    <w:rsid w:val="0010725A"/>
    <w:rsid w:val="001108B6"/>
    <w:rsid w:val="001111DA"/>
    <w:rsid w:val="0011128E"/>
    <w:rsid w:val="001113C3"/>
    <w:rsid w:val="00111B1D"/>
    <w:rsid w:val="00111CD1"/>
    <w:rsid w:val="00111D78"/>
    <w:rsid w:val="0011233F"/>
    <w:rsid w:val="00112391"/>
    <w:rsid w:val="001127B7"/>
    <w:rsid w:val="00112840"/>
    <w:rsid w:val="0011345A"/>
    <w:rsid w:val="001134BE"/>
    <w:rsid w:val="0011366A"/>
    <w:rsid w:val="00113679"/>
    <w:rsid w:val="00113731"/>
    <w:rsid w:val="0011395C"/>
    <w:rsid w:val="0011417D"/>
    <w:rsid w:val="00114323"/>
    <w:rsid w:val="0011451E"/>
    <w:rsid w:val="00114BCA"/>
    <w:rsid w:val="00114BEF"/>
    <w:rsid w:val="00114E98"/>
    <w:rsid w:val="0011505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5AC"/>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98A"/>
    <w:rsid w:val="00132C26"/>
    <w:rsid w:val="00132CA7"/>
    <w:rsid w:val="00132CF9"/>
    <w:rsid w:val="001330AE"/>
    <w:rsid w:val="0013319E"/>
    <w:rsid w:val="00133605"/>
    <w:rsid w:val="001336E4"/>
    <w:rsid w:val="00133AA4"/>
    <w:rsid w:val="00133D67"/>
    <w:rsid w:val="00133E43"/>
    <w:rsid w:val="00133F0F"/>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3E"/>
    <w:rsid w:val="00177EDA"/>
    <w:rsid w:val="001803C0"/>
    <w:rsid w:val="0018074D"/>
    <w:rsid w:val="00180788"/>
    <w:rsid w:val="001808C1"/>
    <w:rsid w:val="00180A60"/>
    <w:rsid w:val="00180B1E"/>
    <w:rsid w:val="00180DBB"/>
    <w:rsid w:val="00181AE4"/>
    <w:rsid w:val="00181B52"/>
    <w:rsid w:val="00181D24"/>
    <w:rsid w:val="00182CA6"/>
    <w:rsid w:val="00182E90"/>
    <w:rsid w:val="001832DA"/>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119"/>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59"/>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3B4"/>
    <w:rsid w:val="001B56FB"/>
    <w:rsid w:val="001B5893"/>
    <w:rsid w:val="001B58AF"/>
    <w:rsid w:val="001B5BDF"/>
    <w:rsid w:val="001B5D96"/>
    <w:rsid w:val="001B6256"/>
    <w:rsid w:val="001B6445"/>
    <w:rsid w:val="001B64D9"/>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2A13"/>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1241"/>
    <w:rsid w:val="001F1431"/>
    <w:rsid w:val="001F1940"/>
    <w:rsid w:val="001F19A1"/>
    <w:rsid w:val="001F1A37"/>
    <w:rsid w:val="001F1ACF"/>
    <w:rsid w:val="001F2246"/>
    <w:rsid w:val="001F23E0"/>
    <w:rsid w:val="001F2427"/>
    <w:rsid w:val="001F243D"/>
    <w:rsid w:val="001F2494"/>
    <w:rsid w:val="001F258C"/>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7D5"/>
    <w:rsid w:val="00203B28"/>
    <w:rsid w:val="002040F1"/>
    <w:rsid w:val="0020412E"/>
    <w:rsid w:val="002042A1"/>
    <w:rsid w:val="002042D6"/>
    <w:rsid w:val="002045F6"/>
    <w:rsid w:val="00204907"/>
    <w:rsid w:val="00204B88"/>
    <w:rsid w:val="00204E1B"/>
    <w:rsid w:val="0020500B"/>
    <w:rsid w:val="00205E75"/>
    <w:rsid w:val="00205F97"/>
    <w:rsid w:val="002061BF"/>
    <w:rsid w:val="002062C1"/>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E25"/>
    <w:rsid w:val="00216F9B"/>
    <w:rsid w:val="0021705B"/>
    <w:rsid w:val="00217096"/>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89D"/>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1CD"/>
    <w:rsid w:val="002421DD"/>
    <w:rsid w:val="00242264"/>
    <w:rsid w:val="00242313"/>
    <w:rsid w:val="002428D6"/>
    <w:rsid w:val="00242C36"/>
    <w:rsid w:val="00242ECF"/>
    <w:rsid w:val="00243078"/>
    <w:rsid w:val="002432E9"/>
    <w:rsid w:val="00243643"/>
    <w:rsid w:val="00243BDE"/>
    <w:rsid w:val="00244253"/>
    <w:rsid w:val="00244490"/>
    <w:rsid w:val="0024451E"/>
    <w:rsid w:val="00244BC5"/>
    <w:rsid w:val="00244EC5"/>
    <w:rsid w:val="00244F3F"/>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D95"/>
    <w:rsid w:val="0026131E"/>
    <w:rsid w:val="002614C9"/>
    <w:rsid w:val="002615D0"/>
    <w:rsid w:val="0026186A"/>
    <w:rsid w:val="00261B76"/>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AA0"/>
    <w:rsid w:val="00280C31"/>
    <w:rsid w:val="00280D96"/>
    <w:rsid w:val="00280EC7"/>
    <w:rsid w:val="00280F41"/>
    <w:rsid w:val="00281228"/>
    <w:rsid w:val="00281485"/>
    <w:rsid w:val="00281589"/>
    <w:rsid w:val="0028159E"/>
    <w:rsid w:val="002816CF"/>
    <w:rsid w:val="002818B7"/>
    <w:rsid w:val="00281CA0"/>
    <w:rsid w:val="0028203A"/>
    <w:rsid w:val="002820F2"/>
    <w:rsid w:val="00282A0C"/>
    <w:rsid w:val="00282A26"/>
    <w:rsid w:val="00282CA8"/>
    <w:rsid w:val="00282D9B"/>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C0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725"/>
    <w:rsid w:val="002E6A6D"/>
    <w:rsid w:val="002E6E03"/>
    <w:rsid w:val="002E6E05"/>
    <w:rsid w:val="002E714E"/>
    <w:rsid w:val="002E72BE"/>
    <w:rsid w:val="002E7410"/>
    <w:rsid w:val="002E7467"/>
    <w:rsid w:val="002E75FD"/>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B63"/>
    <w:rsid w:val="00300F55"/>
    <w:rsid w:val="003010BA"/>
    <w:rsid w:val="003012F6"/>
    <w:rsid w:val="00301D97"/>
    <w:rsid w:val="00302169"/>
    <w:rsid w:val="003023F4"/>
    <w:rsid w:val="003026DF"/>
    <w:rsid w:val="00302AEE"/>
    <w:rsid w:val="00302BFD"/>
    <w:rsid w:val="00303204"/>
    <w:rsid w:val="00303526"/>
    <w:rsid w:val="003038A5"/>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0C97"/>
    <w:rsid w:val="003113C8"/>
    <w:rsid w:val="0031160B"/>
    <w:rsid w:val="003119B9"/>
    <w:rsid w:val="00311BC4"/>
    <w:rsid w:val="00311C41"/>
    <w:rsid w:val="00311D45"/>
    <w:rsid w:val="0031200E"/>
    <w:rsid w:val="00312188"/>
    <w:rsid w:val="003124E1"/>
    <w:rsid w:val="00312504"/>
    <w:rsid w:val="0031259F"/>
    <w:rsid w:val="0031275A"/>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8CD"/>
    <w:rsid w:val="003179ED"/>
    <w:rsid w:val="0032009F"/>
    <w:rsid w:val="00320306"/>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C48"/>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99C"/>
    <w:rsid w:val="00337DD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40"/>
    <w:rsid w:val="00344C17"/>
    <w:rsid w:val="00344DB1"/>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20F"/>
    <w:rsid w:val="0036548A"/>
    <w:rsid w:val="00365EEB"/>
    <w:rsid w:val="0036625E"/>
    <w:rsid w:val="0036679A"/>
    <w:rsid w:val="0036682A"/>
    <w:rsid w:val="0036688D"/>
    <w:rsid w:val="003668E7"/>
    <w:rsid w:val="003668EA"/>
    <w:rsid w:val="00366A26"/>
    <w:rsid w:val="00366A97"/>
    <w:rsid w:val="00366EB5"/>
    <w:rsid w:val="00367748"/>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2061"/>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82"/>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5A0"/>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629"/>
    <w:rsid w:val="0040586D"/>
    <w:rsid w:val="00406783"/>
    <w:rsid w:val="004067A6"/>
    <w:rsid w:val="004067B6"/>
    <w:rsid w:val="00407168"/>
    <w:rsid w:val="00407262"/>
    <w:rsid w:val="004072AD"/>
    <w:rsid w:val="0040730D"/>
    <w:rsid w:val="0040758C"/>
    <w:rsid w:val="004076D4"/>
    <w:rsid w:val="0040779A"/>
    <w:rsid w:val="004102B6"/>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225"/>
    <w:rsid w:val="00423668"/>
    <w:rsid w:val="00423D7D"/>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EB"/>
    <w:rsid w:val="00484240"/>
    <w:rsid w:val="004842CA"/>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C5"/>
    <w:rsid w:val="00490011"/>
    <w:rsid w:val="00490537"/>
    <w:rsid w:val="00490AC4"/>
    <w:rsid w:val="00490AF3"/>
    <w:rsid w:val="00490CF8"/>
    <w:rsid w:val="00491053"/>
    <w:rsid w:val="004916B0"/>
    <w:rsid w:val="00491839"/>
    <w:rsid w:val="00491D6B"/>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0EE"/>
    <w:rsid w:val="004A7640"/>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EE2"/>
    <w:rsid w:val="004D10BB"/>
    <w:rsid w:val="004D1313"/>
    <w:rsid w:val="004D13FD"/>
    <w:rsid w:val="004D1844"/>
    <w:rsid w:val="004D18B7"/>
    <w:rsid w:val="004D1CBD"/>
    <w:rsid w:val="004D203D"/>
    <w:rsid w:val="004D2424"/>
    <w:rsid w:val="004D273A"/>
    <w:rsid w:val="004D2932"/>
    <w:rsid w:val="004D2B34"/>
    <w:rsid w:val="004D2C97"/>
    <w:rsid w:val="004D2FAF"/>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8DB"/>
    <w:rsid w:val="005069DB"/>
    <w:rsid w:val="00506E5C"/>
    <w:rsid w:val="00506F2C"/>
    <w:rsid w:val="00506F76"/>
    <w:rsid w:val="00507098"/>
    <w:rsid w:val="00507257"/>
    <w:rsid w:val="0050735D"/>
    <w:rsid w:val="00507BD4"/>
    <w:rsid w:val="00507F21"/>
    <w:rsid w:val="0051073D"/>
    <w:rsid w:val="0051076B"/>
    <w:rsid w:val="0051090B"/>
    <w:rsid w:val="00510DCB"/>
    <w:rsid w:val="00510DFB"/>
    <w:rsid w:val="00510EAC"/>
    <w:rsid w:val="005110C3"/>
    <w:rsid w:val="005111FB"/>
    <w:rsid w:val="0051178F"/>
    <w:rsid w:val="00511BC5"/>
    <w:rsid w:val="00511EAE"/>
    <w:rsid w:val="00511F48"/>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27E53"/>
    <w:rsid w:val="00530288"/>
    <w:rsid w:val="0053072C"/>
    <w:rsid w:val="00530B3F"/>
    <w:rsid w:val="00530EDD"/>
    <w:rsid w:val="00530FA8"/>
    <w:rsid w:val="00531241"/>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9F9"/>
    <w:rsid w:val="00547BCA"/>
    <w:rsid w:val="00547D28"/>
    <w:rsid w:val="00547E86"/>
    <w:rsid w:val="00547ECA"/>
    <w:rsid w:val="00550061"/>
    <w:rsid w:val="0055089C"/>
    <w:rsid w:val="00550F17"/>
    <w:rsid w:val="0055195A"/>
    <w:rsid w:val="00551D4A"/>
    <w:rsid w:val="0055242E"/>
    <w:rsid w:val="005525AF"/>
    <w:rsid w:val="005528AA"/>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F6"/>
    <w:rsid w:val="00567462"/>
    <w:rsid w:val="00567BDB"/>
    <w:rsid w:val="00567C6F"/>
    <w:rsid w:val="00567FF7"/>
    <w:rsid w:val="00570132"/>
    <w:rsid w:val="0057064B"/>
    <w:rsid w:val="0057086A"/>
    <w:rsid w:val="00570AA2"/>
    <w:rsid w:val="005710C4"/>
    <w:rsid w:val="005710E3"/>
    <w:rsid w:val="0057118A"/>
    <w:rsid w:val="00571620"/>
    <w:rsid w:val="0057178A"/>
    <w:rsid w:val="005719B5"/>
    <w:rsid w:val="00571B84"/>
    <w:rsid w:val="00572239"/>
    <w:rsid w:val="0057274F"/>
    <w:rsid w:val="005729C7"/>
    <w:rsid w:val="00573165"/>
    <w:rsid w:val="00573F63"/>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49E"/>
    <w:rsid w:val="00585B2A"/>
    <w:rsid w:val="00585CB7"/>
    <w:rsid w:val="00586103"/>
    <w:rsid w:val="00586402"/>
    <w:rsid w:val="005868C1"/>
    <w:rsid w:val="00586CCD"/>
    <w:rsid w:val="00586D2B"/>
    <w:rsid w:val="005873A9"/>
    <w:rsid w:val="005873ED"/>
    <w:rsid w:val="00587B08"/>
    <w:rsid w:val="00587B87"/>
    <w:rsid w:val="00590175"/>
    <w:rsid w:val="00590516"/>
    <w:rsid w:val="00590DA8"/>
    <w:rsid w:val="00590F06"/>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0F5"/>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ECC"/>
    <w:rsid w:val="005D10D0"/>
    <w:rsid w:val="005D15B3"/>
    <w:rsid w:val="005D1881"/>
    <w:rsid w:val="005D196D"/>
    <w:rsid w:val="005D1BB4"/>
    <w:rsid w:val="005D20A1"/>
    <w:rsid w:val="005D22D7"/>
    <w:rsid w:val="005D29BF"/>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195"/>
    <w:rsid w:val="005E433C"/>
    <w:rsid w:val="005E435F"/>
    <w:rsid w:val="005E4462"/>
    <w:rsid w:val="005E44CD"/>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1A3"/>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596C"/>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26E"/>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655"/>
    <w:rsid w:val="006708C0"/>
    <w:rsid w:val="006712EB"/>
    <w:rsid w:val="00671438"/>
    <w:rsid w:val="0067161E"/>
    <w:rsid w:val="00671AD9"/>
    <w:rsid w:val="00671C82"/>
    <w:rsid w:val="00671DD4"/>
    <w:rsid w:val="00671E22"/>
    <w:rsid w:val="0067214C"/>
    <w:rsid w:val="006722A3"/>
    <w:rsid w:val="00673301"/>
    <w:rsid w:val="00673C37"/>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73B"/>
    <w:rsid w:val="00692D94"/>
    <w:rsid w:val="00692E40"/>
    <w:rsid w:val="00692F7B"/>
    <w:rsid w:val="00694123"/>
    <w:rsid w:val="006942AB"/>
    <w:rsid w:val="006944F6"/>
    <w:rsid w:val="00694886"/>
    <w:rsid w:val="00695508"/>
    <w:rsid w:val="0069599A"/>
    <w:rsid w:val="00695A19"/>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647"/>
    <w:rsid w:val="006D4C57"/>
    <w:rsid w:val="006D51B6"/>
    <w:rsid w:val="006D525D"/>
    <w:rsid w:val="006D5923"/>
    <w:rsid w:val="006D5C5A"/>
    <w:rsid w:val="006D5F4E"/>
    <w:rsid w:val="006D5F59"/>
    <w:rsid w:val="006D667F"/>
    <w:rsid w:val="006D66A7"/>
    <w:rsid w:val="006D6727"/>
    <w:rsid w:val="006D69E1"/>
    <w:rsid w:val="006D6BD6"/>
    <w:rsid w:val="006D7374"/>
    <w:rsid w:val="006D74CA"/>
    <w:rsid w:val="006D7698"/>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AC"/>
    <w:rsid w:val="006F7FBA"/>
    <w:rsid w:val="007003D4"/>
    <w:rsid w:val="0070086F"/>
    <w:rsid w:val="00700D56"/>
    <w:rsid w:val="00700DF6"/>
    <w:rsid w:val="00700E1E"/>
    <w:rsid w:val="0070118A"/>
    <w:rsid w:val="0070157A"/>
    <w:rsid w:val="0070194B"/>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95B"/>
    <w:rsid w:val="00713996"/>
    <w:rsid w:val="00713D41"/>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BDD"/>
    <w:rsid w:val="0072100B"/>
    <w:rsid w:val="00721342"/>
    <w:rsid w:val="007213F8"/>
    <w:rsid w:val="007215B0"/>
    <w:rsid w:val="007218AF"/>
    <w:rsid w:val="00721950"/>
    <w:rsid w:val="00721CFF"/>
    <w:rsid w:val="00721EAA"/>
    <w:rsid w:val="0072203D"/>
    <w:rsid w:val="00722264"/>
    <w:rsid w:val="007223FD"/>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6312"/>
    <w:rsid w:val="0072635D"/>
    <w:rsid w:val="007275A5"/>
    <w:rsid w:val="00727685"/>
    <w:rsid w:val="00727978"/>
    <w:rsid w:val="007279DB"/>
    <w:rsid w:val="00727A90"/>
    <w:rsid w:val="00727BC4"/>
    <w:rsid w:val="00727E66"/>
    <w:rsid w:val="00730F25"/>
    <w:rsid w:val="00731356"/>
    <w:rsid w:val="00731510"/>
    <w:rsid w:val="007315B2"/>
    <w:rsid w:val="007316E9"/>
    <w:rsid w:val="007317DC"/>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965"/>
    <w:rsid w:val="00753C5B"/>
    <w:rsid w:val="00754369"/>
    <w:rsid w:val="007551F4"/>
    <w:rsid w:val="0075522B"/>
    <w:rsid w:val="007552B7"/>
    <w:rsid w:val="00756355"/>
    <w:rsid w:val="00756812"/>
    <w:rsid w:val="0075691F"/>
    <w:rsid w:val="00756A6A"/>
    <w:rsid w:val="00757B3F"/>
    <w:rsid w:val="00757D00"/>
    <w:rsid w:val="00757D67"/>
    <w:rsid w:val="00760294"/>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E1C"/>
    <w:rsid w:val="00764127"/>
    <w:rsid w:val="00764235"/>
    <w:rsid w:val="007643A0"/>
    <w:rsid w:val="00764A9A"/>
    <w:rsid w:val="00764AD4"/>
    <w:rsid w:val="00764B25"/>
    <w:rsid w:val="00764C31"/>
    <w:rsid w:val="00764CF7"/>
    <w:rsid w:val="00764D8D"/>
    <w:rsid w:val="00764F7F"/>
    <w:rsid w:val="00765267"/>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5D5"/>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B0F"/>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8CC"/>
    <w:rsid w:val="00776950"/>
    <w:rsid w:val="00776D45"/>
    <w:rsid w:val="00776FD1"/>
    <w:rsid w:val="007770CD"/>
    <w:rsid w:val="00777667"/>
    <w:rsid w:val="0077776A"/>
    <w:rsid w:val="00777785"/>
    <w:rsid w:val="007777C4"/>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A34"/>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41B7"/>
    <w:rsid w:val="007A430E"/>
    <w:rsid w:val="007A4693"/>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40D"/>
    <w:rsid w:val="007D2481"/>
    <w:rsid w:val="007D2C98"/>
    <w:rsid w:val="007D31D1"/>
    <w:rsid w:val="007D348E"/>
    <w:rsid w:val="007D34F9"/>
    <w:rsid w:val="007D3515"/>
    <w:rsid w:val="007D3804"/>
    <w:rsid w:val="007D3D31"/>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F96"/>
    <w:rsid w:val="00800418"/>
    <w:rsid w:val="00800476"/>
    <w:rsid w:val="0080062A"/>
    <w:rsid w:val="0080073D"/>
    <w:rsid w:val="00800788"/>
    <w:rsid w:val="00800797"/>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337"/>
    <w:rsid w:val="0081447B"/>
    <w:rsid w:val="00814665"/>
    <w:rsid w:val="008146EF"/>
    <w:rsid w:val="00814CD1"/>
    <w:rsid w:val="00814DD7"/>
    <w:rsid w:val="00814DF8"/>
    <w:rsid w:val="00815737"/>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DC2"/>
    <w:rsid w:val="00842EC0"/>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EB4"/>
    <w:rsid w:val="00862FED"/>
    <w:rsid w:val="00863185"/>
    <w:rsid w:val="0086394B"/>
    <w:rsid w:val="00863E60"/>
    <w:rsid w:val="0086410A"/>
    <w:rsid w:val="008647F9"/>
    <w:rsid w:val="0086551B"/>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6074"/>
    <w:rsid w:val="00876E0C"/>
    <w:rsid w:val="00876E7E"/>
    <w:rsid w:val="008770E6"/>
    <w:rsid w:val="00877239"/>
    <w:rsid w:val="00877364"/>
    <w:rsid w:val="00877591"/>
    <w:rsid w:val="00877AFA"/>
    <w:rsid w:val="00877DB0"/>
    <w:rsid w:val="00877DB4"/>
    <w:rsid w:val="00877DC8"/>
    <w:rsid w:val="008802C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BF"/>
    <w:rsid w:val="008840FB"/>
    <w:rsid w:val="008841D4"/>
    <w:rsid w:val="008845DA"/>
    <w:rsid w:val="00884978"/>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8B"/>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EBB"/>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8A9"/>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742A"/>
    <w:rsid w:val="008D0480"/>
    <w:rsid w:val="008D09D6"/>
    <w:rsid w:val="008D0C34"/>
    <w:rsid w:val="008D0E59"/>
    <w:rsid w:val="008D1477"/>
    <w:rsid w:val="008D15D6"/>
    <w:rsid w:val="008D1952"/>
    <w:rsid w:val="008D20DE"/>
    <w:rsid w:val="008D20F1"/>
    <w:rsid w:val="008D215A"/>
    <w:rsid w:val="008D21AA"/>
    <w:rsid w:val="008D2A75"/>
    <w:rsid w:val="008D3281"/>
    <w:rsid w:val="008D33F7"/>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2FB7"/>
    <w:rsid w:val="008E32A3"/>
    <w:rsid w:val="008E3D7A"/>
    <w:rsid w:val="008E406E"/>
    <w:rsid w:val="008E4273"/>
    <w:rsid w:val="008E4928"/>
    <w:rsid w:val="008E4D64"/>
    <w:rsid w:val="008E4E66"/>
    <w:rsid w:val="008E557A"/>
    <w:rsid w:val="008E5A8B"/>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CE2"/>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11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EB"/>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88F"/>
    <w:rsid w:val="00945D96"/>
    <w:rsid w:val="00946358"/>
    <w:rsid w:val="009464A1"/>
    <w:rsid w:val="009466AD"/>
    <w:rsid w:val="00946AF8"/>
    <w:rsid w:val="00947330"/>
    <w:rsid w:val="00947CC0"/>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9A2"/>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502B"/>
    <w:rsid w:val="009653C3"/>
    <w:rsid w:val="00965658"/>
    <w:rsid w:val="00965787"/>
    <w:rsid w:val="009660DE"/>
    <w:rsid w:val="009662BA"/>
    <w:rsid w:val="009667CE"/>
    <w:rsid w:val="00966882"/>
    <w:rsid w:val="00967205"/>
    <w:rsid w:val="009677A3"/>
    <w:rsid w:val="00970090"/>
    <w:rsid w:val="009701A9"/>
    <w:rsid w:val="0097020B"/>
    <w:rsid w:val="00970378"/>
    <w:rsid w:val="009704C4"/>
    <w:rsid w:val="00970637"/>
    <w:rsid w:val="00970841"/>
    <w:rsid w:val="0097087A"/>
    <w:rsid w:val="00970AC3"/>
    <w:rsid w:val="00970FA9"/>
    <w:rsid w:val="00971370"/>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809D7"/>
    <w:rsid w:val="0098168D"/>
    <w:rsid w:val="009819D6"/>
    <w:rsid w:val="00981C2D"/>
    <w:rsid w:val="00981C33"/>
    <w:rsid w:val="00982310"/>
    <w:rsid w:val="0098235D"/>
    <w:rsid w:val="009826EC"/>
    <w:rsid w:val="00982D5A"/>
    <w:rsid w:val="00982FAE"/>
    <w:rsid w:val="009830B4"/>
    <w:rsid w:val="00983951"/>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72B"/>
    <w:rsid w:val="009909BD"/>
    <w:rsid w:val="00990BC7"/>
    <w:rsid w:val="00990BE6"/>
    <w:rsid w:val="00990DFD"/>
    <w:rsid w:val="00990E7B"/>
    <w:rsid w:val="009910D6"/>
    <w:rsid w:val="009912BA"/>
    <w:rsid w:val="009916A6"/>
    <w:rsid w:val="00991A83"/>
    <w:rsid w:val="009920E4"/>
    <w:rsid w:val="00992156"/>
    <w:rsid w:val="0099233C"/>
    <w:rsid w:val="00992551"/>
    <w:rsid w:val="009925E9"/>
    <w:rsid w:val="009926FF"/>
    <w:rsid w:val="009928FC"/>
    <w:rsid w:val="009935FC"/>
    <w:rsid w:val="00993B06"/>
    <w:rsid w:val="00994080"/>
    <w:rsid w:val="009942E5"/>
    <w:rsid w:val="00994767"/>
    <w:rsid w:val="00994CC1"/>
    <w:rsid w:val="00994F29"/>
    <w:rsid w:val="00994F61"/>
    <w:rsid w:val="00995516"/>
    <w:rsid w:val="009955B9"/>
    <w:rsid w:val="00995A2F"/>
    <w:rsid w:val="009961E2"/>
    <w:rsid w:val="0099633D"/>
    <w:rsid w:val="00996401"/>
    <w:rsid w:val="009964CD"/>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B6A"/>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46"/>
    <w:rsid w:val="009B2A27"/>
    <w:rsid w:val="009B2D31"/>
    <w:rsid w:val="009B3349"/>
    <w:rsid w:val="009B34DF"/>
    <w:rsid w:val="009B39CE"/>
    <w:rsid w:val="009B3C0D"/>
    <w:rsid w:val="009B3D60"/>
    <w:rsid w:val="009B3E54"/>
    <w:rsid w:val="009B3E68"/>
    <w:rsid w:val="009B40FF"/>
    <w:rsid w:val="009B477F"/>
    <w:rsid w:val="009B47BE"/>
    <w:rsid w:val="009B49FB"/>
    <w:rsid w:val="009B4A93"/>
    <w:rsid w:val="009B4AC8"/>
    <w:rsid w:val="009B4BAC"/>
    <w:rsid w:val="009B54F6"/>
    <w:rsid w:val="009B5546"/>
    <w:rsid w:val="009B61F2"/>
    <w:rsid w:val="009B68CA"/>
    <w:rsid w:val="009B6A3F"/>
    <w:rsid w:val="009B6AE3"/>
    <w:rsid w:val="009B6C92"/>
    <w:rsid w:val="009B6DD9"/>
    <w:rsid w:val="009B7175"/>
    <w:rsid w:val="009B732D"/>
    <w:rsid w:val="009B778B"/>
    <w:rsid w:val="009B7C86"/>
    <w:rsid w:val="009C0195"/>
    <w:rsid w:val="009C01E7"/>
    <w:rsid w:val="009C0A3C"/>
    <w:rsid w:val="009C1295"/>
    <w:rsid w:val="009C16B1"/>
    <w:rsid w:val="009C1C0A"/>
    <w:rsid w:val="009C1E50"/>
    <w:rsid w:val="009C235C"/>
    <w:rsid w:val="009C3441"/>
    <w:rsid w:val="009C36E0"/>
    <w:rsid w:val="009C469D"/>
    <w:rsid w:val="009C47A6"/>
    <w:rsid w:val="009C51B5"/>
    <w:rsid w:val="009C55A0"/>
    <w:rsid w:val="009C5C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7FB"/>
    <w:rsid w:val="009E3829"/>
    <w:rsid w:val="009E3967"/>
    <w:rsid w:val="009E3C7E"/>
    <w:rsid w:val="009E3DC7"/>
    <w:rsid w:val="009E4025"/>
    <w:rsid w:val="009E405D"/>
    <w:rsid w:val="009E40B1"/>
    <w:rsid w:val="009E41A3"/>
    <w:rsid w:val="009E4206"/>
    <w:rsid w:val="009E43F2"/>
    <w:rsid w:val="009E4467"/>
    <w:rsid w:val="009E4B04"/>
    <w:rsid w:val="009E4E3C"/>
    <w:rsid w:val="009E550F"/>
    <w:rsid w:val="009E5563"/>
    <w:rsid w:val="009E5E7E"/>
    <w:rsid w:val="009E5ED9"/>
    <w:rsid w:val="009E6497"/>
    <w:rsid w:val="009E6577"/>
    <w:rsid w:val="009E6686"/>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ACE"/>
    <w:rsid w:val="00A32197"/>
    <w:rsid w:val="00A3259B"/>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B55"/>
    <w:rsid w:val="00A5704F"/>
    <w:rsid w:val="00A57107"/>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2D5"/>
    <w:rsid w:val="00A825A2"/>
    <w:rsid w:val="00A8298A"/>
    <w:rsid w:val="00A8368F"/>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51D2"/>
    <w:rsid w:val="00A9567C"/>
    <w:rsid w:val="00A957B5"/>
    <w:rsid w:val="00A957BD"/>
    <w:rsid w:val="00A95F8E"/>
    <w:rsid w:val="00A96051"/>
    <w:rsid w:val="00A960F2"/>
    <w:rsid w:val="00A96297"/>
    <w:rsid w:val="00A963CC"/>
    <w:rsid w:val="00A9648B"/>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ABA"/>
    <w:rsid w:val="00AB1B54"/>
    <w:rsid w:val="00AB1BA0"/>
    <w:rsid w:val="00AB1E83"/>
    <w:rsid w:val="00AB200C"/>
    <w:rsid w:val="00AB21B9"/>
    <w:rsid w:val="00AB2364"/>
    <w:rsid w:val="00AB23C6"/>
    <w:rsid w:val="00AB26F6"/>
    <w:rsid w:val="00AB2857"/>
    <w:rsid w:val="00AB2E09"/>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873"/>
    <w:rsid w:val="00AC4952"/>
    <w:rsid w:val="00AC51D1"/>
    <w:rsid w:val="00AC53FB"/>
    <w:rsid w:val="00AC55EB"/>
    <w:rsid w:val="00AC582D"/>
    <w:rsid w:val="00AC5A18"/>
    <w:rsid w:val="00AC5B08"/>
    <w:rsid w:val="00AC5CB4"/>
    <w:rsid w:val="00AC5CD2"/>
    <w:rsid w:val="00AC618C"/>
    <w:rsid w:val="00AC6236"/>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65B5"/>
    <w:rsid w:val="00AD66EE"/>
    <w:rsid w:val="00AD683A"/>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BDF"/>
    <w:rsid w:val="00B06264"/>
    <w:rsid w:val="00B0664B"/>
    <w:rsid w:val="00B069BF"/>
    <w:rsid w:val="00B06B39"/>
    <w:rsid w:val="00B06DA7"/>
    <w:rsid w:val="00B07009"/>
    <w:rsid w:val="00B07B58"/>
    <w:rsid w:val="00B07EC2"/>
    <w:rsid w:val="00B10590"/>
    <w:rsid w:val="00B10996"/>
    <w:rsid w:val="00B10B86"/>
    <w:rsid w:val="00B10BD8"/>
    <w:rsid w:val="00B10CCA"/>
    <w:rsid w:val="00B10D32"/>
    <w:rsid w:val="00B10D74"/>
    <w:rsid w:val="00B10FAB"/>
    <w:rsid w:val="00B110F7"/>
    <w:rsid w:val="00B11102"/>
    <w:rsid w:val="00B11264"/>
    <w:rsid w:val="00B113CB"/>
    <w:rsid w:val="00B11D4C"/>
    <w:rsid w:val="00B11E4B"/>
    <w:rsid w:val="00B1236F"/>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BA1"/>
    <w:rsid w:val="00B15D36"/>
    <w:rsid w:val="00B16322"/>
    <w:rsid w:val="00B16493"/>
    <w:rsid w:val="00B165D7"/>
    <w:rsid w:val="00B166A2"/>
    <w:rsid w:val="00B16A45"/>
    <w:rsid w:val="00B16D8C"/>
    <w:rsid w:val="00B175DA"/>
    <w:rsid w:val="00B17609"/>
    <w:rsid w:val="00B17939"/>
    <w:rsid w:val="00B17DF1"/>
    <w:rsid w:val="00B17F25"/>
    <w:rsid w:val="00B203E4"/>
    <w:rsid w:val="00B20995"/>
    <w:rsid w:val="00B20CBC"/>
    <w:rsid w:val="00B20E77"/>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66F"/>
    <w:rsid w:val="00B26BCD"/>
    <w:rsid w:val="00B26CA5"/>
    <w:rsid w:val="00B27439"/>
    <w:rsid w:val="00B275A0"/>
    <w:rsid w:val="00B27808"/>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61E"/>
    <w:rsid w:val="00B63C0E"/>
    <w:rsid w:val="00B63D13"/>
    <w:rsid w:val="00B65098"/>
    <w:rsid w:val="00B65181"/>
    <w:rsid w:val="00B65222"/>
    <w:rsid w:val="00B6547E"/>
    <w:rsid w:val="00B654B1"/>
    <w:rsid w:val="00B657FF"/>
    <w:rsid w:val="00B65905"/>
    <w:rsid w:val="00B65E63"/>
    <w:rsid w:val="00B66015"/>
    <w:rsid w:val="00B660F2"/>
    <w:rsid w:val="00B66275"/>
    <w:rsid w:val="00B66B72"/>
    <w:rsid w:val="00B66DBD"/>
    <w:rsid w:val="00B66E1A"/>
    <w:rsid w:val="00B66FDF"/>
    <w:rsid w:val="00B67365"/>
    <w:rsid w:val="00B6787C"/>
    <w:rsid w:val="00B67DB0"/>
    <w:rsid w:val="00B67E24"/>
    <w:rsid w:val="00B67E7C"/>
    <w:rsid w:val="00B704DC"/>
    <w:rsid w:val="00B70828"/>
    <w:rsid w:val="00B70882"/>
    <w:rsid w:val="00B70C14"/>
    <w:rsid w:val="00B70E52"/>
    <w:rsid w:val="00B71050"/>
    <w:rsid w:val="00B714F7"/>
    <w:rsid w:val="00B7177B"/>
    <w:rsid w:val="00B71DB5"/>
    <w:rsid w:val="00B71EA8"/>
    <w:rsid w:val="00B71FAF"/>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64C2"/>
    <w:rsid w:val="00B864FC"/>
    <w:rsid w:val="00B86698"/>
    <w:rsid w:val="00B86E3A"/>
    <w:rsid w:val="00B873D3"/>
    <w:rsid w:val="00B87626"/>
    <w:rsid w:val="00B87967"/>
    <w:rsid w:val="00B87D34"/>
    <w:rsid w:val="00B902D8"/>
    <w:rsid w:val="00B90A6D"/>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B11"/>
    <w:rsid w:val="00B92E83"/>
    <w:rsid w:val="00B931F3"/>
    <w:rsid w:val="00B933BA"/>
    <w:rsid w:val="00B934A6"/>
    <w:rsid w:val="00B934C9"/>
    <w:rsid w:val="00B93B7A"/>
    <w:rsid w:val="00B93FA3"/>
    <w:rsid w:val="00B9402D"/>
    <w:rsid w:val="00B943AD"/>
    <w:rsid w:val="00B94823"/>
    <w:rsid w:val="00B94842"/>
    <w:rsid w:val="00B95845"/>
    <w:rsid w:val="00B959FC"/>
    <w:rsid w:val="00B95E4B"/>
    <w:rsid w:val="00B95F79"/>
    <w:rsid w:val="00B9651E"/>
    <w:rsid w:val="00B967E0"/>
    <w:rsid w:val="00B96BBD"/>
    <w:rsid w:val="00B96D1B"/>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9FF"/>
    <w:rsid w:val="00BA5AAF"/>
    <w:rsid w:val="00BA5DA7"/>
    <w:rsid w:val="00BA667E"/>
    <w:rsid w:val="00BA730F"/>
    <w:rsid w:val="00BA731D"/>
    <w:rsid w:val="00BA7414"/>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6C"/>
    <w:rsid w:val="00BE67E3"/>
    <w:rsid w:val="00BE68F1"/>
    <w:rsid w:val="00BE6E91"/>
    <w:rsid w:val="00BE7781"/>
    <w:rsid w:val="00BE78C6"/>
    <w:rsid w:val="00BE7969"/>
    <w:rsid w:val="00BE7B4C"/>
    <w:rsid w:val="00BE7B96"/>
    <w:rsid w:val="00BF043B"/>
    <w:rsid w:val="00BF0AA2"/>
    <w:rsid w:val="00BF0AE1"/>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128"/>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627"/>
    <w:rsid w:val="00C24906"/>
    <w:rsid w:val="00C24D48"/>
    <w:rsid w:val="00C24EA0"/>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B3A"/>
    <w:rsid w:val="00C53C63"/>
    <w:rsid w:val="00C5432D"/>
    <w:rsid w:val="00C5474E"/>
    <w:rsid w:val="00C54B44"/>
    <w:rsid w:val="00C54FA4"/>
    <w:rsid w:val="00C5575C"/>
    <w:rsid w:val="00C55DB8"/>
    <w:rsid w:val="00C566B8"/>
    <w:rsid w:val="00C56B2F"/>
    <w:rsid w:val="00C56D68"/>
    <w:rsid w:val="00C56F34"/>
    <w:rsid w:val="00C57105"/>
    <w:rsid w:val="00C57BCE"/>
    <w:rsid w:val="00C57BF8"/>
    <w:rsid w:val="00C57FD4"/>
    <w:rsid w:val="00C604B0"/>
    <w:rsid w:val="00C6075F"/>
    <w:rsid w:val="00C60914"/>
    <w:rsid w:val="00C61029"/>
    <w:rsid w:val="00C614E2"/>
    <w:rsid w:val="00C61748"/>
    <w:rsid w:val="00C62CDC"/>
    <w:rsid w:val="00C62ED1"/>
    <w:rsid w:val="00C63161"/>
    <w:rsid w:val="00C63E91"/>
    <w:rsid w:val="00C6412A"/>
    <w:rsid w:val="00C64223"/>
    <w:rsid w:val="00C64870"/>
    <w:rsid w:val="00C64B5E"/>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5BF8"/>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271"/>
    <w:rsid w:val="00CE084F"/>
    <w:rsid w:val="00CE0A1A"/>
    <w:rsid w:val="00CE0D6A"/>
    <w:rsid w:val="00CE0F19"/>
    <w:rsid w:val="00CE15C3"/>
    <w:rsid w:val="00CE1C7D"/>
    <w:rsid w:val="00CE1DD6"/>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CF6"/>
    <w:rsid w:val="00D12E21"/>
    <w:rsid w:val="00D13095"/>
    <w:rsid w:val="00D13644"/>
    <w:rsid w:val="00D139AE"/>
    <w:rsid w:val="00D13E08"/>
    <w:rsid w:val="00D1425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909"/>
    <w:rsid w:val="00D65F5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40D6"/>
    <w:rsid w:val="00D74355"/>
    <w:rsid w:val="00D7447A"/>
    <w:rsid w:val="00D747C5"/>
    <w:rsid w:val="00D74C15"/>
    <w:rsid w:val="00D7504E"/>
    <w:rsid w:val="00D750D5"/>
    <w:rsid w:val="00D7515C"/>
    <w:rsid w:val="00D751B4"/>
    <w:rsid w:val="00D757AA"/>
    <w:rsid w:val="00D758F2"/>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DC5"/>
    <w:rsid w:val="00D93EEE"/>
    <w:rsid w:val="00D94233"/>
    <w:rsid w:val="00D942E7"/>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50C"/>
    <w:rsid w:val="00DA664B"/>
    <w:rsid w:val="00DA671C"/>
    <w:rsid w:val="00DA6859"/>
    <w:rsid w:val="00DA6887"/>
    <w:rsid w:val="00DA774E"/>
    <w:rsid w:val="00DA7937"/>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465"/>
    <w:rsid w:val="00DF55B1"/>
    <w:rsid w:val="00DF5739"/>
    <w:rsid w:val="00DF57B4"/>
    <w:rsid w:val="00DF58B1"/>
    <w:rsid w:val="00DF61E6"/>
    <w:rsid w:val="00DF6591"/>
    <w:rsid w:val="00DF6903"/>
    <w:rsid w:val="00DF6D7C"/>
    <w:rsid w:val="00DF7155"/>
    <w:rsid w:val="00DF7434"/>
    <w:rsid w:val="00DF7E20"/>
    <w:rsid w:val="00DF7FA9"/>
    <w:rsid w:val="00E00E2F"/>
    <w:rsid w:val="00E01428"/>
    <w:rsid w:val="00E01A6F"/>
    <w:rsid w:val="00E01B75"/>
    <w:rsid w:val="00E01BD2"/>
    <w:rsid w:val="00E01F70"/>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47E"/>
    <w:rsid w:val="00E124C1"/>
    <w:rsid w:val="00E12512"/>
    <w:rsid w:val="00E12677"/>
    <w:rsid w:val="00E126BA"/>
    <w:rsid w:val="00E13009"/>
    <w:rsid w:val="00E136BD"/>
    <w:rsid w:val="00E13BC4"/>
    <w:rsid w:val="00E141EE"/>
    <w:rsid w:val="00E14353"/>
    <w:rsid w:val="00E14455"/>
    <w:rsid w:val="00E14826"/>
    <w:rsid w:val="00E149CA"/>
    <w:rsid w:val="00E14CA4"/>
    <w:rsid w:val="00E14D0A"/>
    <w:rsid w:val="00E152AA"/>
    <w:rsid w:val="00E15C76"/>
    <w:rsid w:val="00E1699F"/>
    <w:rsid w:val="00E16B25"/>
    <w:rsid w:val="00E16D4E"/>
    <w:rsid w:val="00E1742C"/>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400"/>
    <w:rsid w:val="00E33657"/>
    <w:rsid w:val="00E33B45"/>
    <w:rsid w:val="00E34041"/>
    <w:rsid w:val="00E340E1"/>
    <w:rsid w:val="00E342F9"/>
    <w:rsid w:val="00E34460"/>
    <w:rsid w:val="00E345B2"/>
    <w:rsid w:val="00E345DF"/>
    <w:rsid w:val="00E3464C"/>
    <w:rsid w:val="00E34917"/>
    <w:rsid w:val="00E34E48"/>
    <w:rsid w:val="00E34F7C"/>
    <w:rsid w:val="00E352E0"/>
    <w:rsid w:val="00E3550D"/>
    <w:rsid w:val="00E35FB8"/>
    <w:rsid w:val="00E361E2"/>
    <w:rsid w:val="00E3639E"/>
    <w:rsid w:val="00E367E8"/>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744A"/>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C14"/>
    <w:rsid w:val="00E87DB0"/>
    <w:rsid w:val="00E90236"/>
    <w:rsid w:val="00E902D1"/>
    <w:rsid w:val="00E907BB"/>
    <w:rsid w:val="00E907D5"/>
    <w:rsid w:val="00E908C0"/>
    <w:rsid w:val="00E90D8A"/>
    <w:rsid w:val="00E90D9B"/>
    <w:rsid w:val="00E90E99"/>
    <w:rsid w:val="00E90EB5"/>
    <w:rsid w:val="00E90F55"/>
    <w:rsid w:val="00E91731"/>
    <w:rsid w:val="00E9179C"/>
    <w:rsid w:val="00E91A76"/>
    <w:rsid w:val="00E91CC0"/>
    <w:rsid w:val="00E91D9F"/>
    <w:rsid w:val="00E9233E"/>
    <w:rsid w:val="00E9245B"/>
    <w:rsid w:val="00E92856"/>
    <w:rsid w:val="00E92AFF"/>
    <w:rsid w:val="00E93489"/>
    <w:rsid w:val="00E936E0"/>
    <w:rsid w:val="00E93B00"/>
    <w:rsid w:val="00E93C38"/>
    <w:rsid w:val="00E93CEF"/>
    <w:rsid w:val="00E93EC1"/>
    <w:rsid w:val="00E93F82"/>
    <w:rsid w:val="00E93FAD"/>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BD3"/>
    <w:rsid w:val="00E95DFB"/>
    <w:rsid w:val="00E962CA"/>
    <w:rsid w:val="00E96AB4"/>
    <w:rsid w:val="00E972D5"/>
    <w:rsid w:val="00E97315"/>
    <w:rsid w:val="00E97807"/>
    <w:rsid w:val="00E97C05"/>
    <w:rsid w:val="00E97E34"/>
    <w:rsid w:val="00EA0232"/>
    <w:rsid w:val="00EA0303"/>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DCE"/>
    <w:rsid w:val="00EA6E2C"/>
    <w:rsid w:val="00EA729D"/>
    <w:rsid w:val="00EA7364"/>
    <w:rsid w:val="00EA7633"/>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4D9"/>
    <w:rsid w:val="00EB74E4"/>
    <w:rsid w:val="00EB75F3"/>
    <w:rsid w:val="00EB7708"/>
    <w:rsid w:val="00EB7782"/>
    <w:rsid w:val="00EB7B5E"/>
    <w:rsid w:val="00EB7FA8"/>
    <w:rsid w:val="00EC0241"/>
    <w:rsid w:val="00EC0792"/>
    <w:rsid w:val="00EC0821"/>
    <w:rsid w:val="00EC08D0"/>
    <w:rsid w:val="00EC0DA3"/>
    <w:rsid w:val="00EC1415"/>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53D"/>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104A0"/>
    <w:rsid w:val="00F108BB"/>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E42"/>
    <w:rsid w:val="00F2213D"/>
    <w:rsid w:val="00F225D6"/>
    <w:rsid w:val="00F22632"/>
    <w:rsid w:val="00F2311A"/>
    <w:rsid w:val="00F23189"/>
    <w:rsid w:val="00F2337C"/>
    <w:rsid w:val="00F23483"/>
    <w:rsid w:val="00F2367B"/>
    <w:rsid w:val="00F238DB"/>
    <w:rsid w:val="00F23AAC"/>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45C"/>
    <w:rsid w:val="00F30DFF"/>
    <w:rsid w:val="00F30E34"/>
    <w:rsid w:val="00F314E1"/>
    <w:rsid w:val="00F318FD"/>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BC5"/>
    <w:rsid w:val="00F36433"/>
    <w:rsid w:val="00F36515"/>
    <w:rsid w:val="00F365AA"/>
    <w:rsid w:val="00F36BDC"/>
    <w:rsid w:val="00F36E27"/>
    <w:rsid w:val="00F3716D"/>
    <w:rsid w:val="00F376EE"/>
    <w:rsid w:val="00F37DAA"/>
    <w:rsid w:val="00F37ED9"/>
    <w:rsid w:val="00F4036C"/>
    <w:rsid w:val="00F403C0"/>
    <w:rsid w:val="00F4085B"/>
    <w:rsid w:val="00F408E6"/>
    <w:rsid w:val="00F411EB"/>
    <w:rsid w:val="00F414AA"/>
    <w:rsid w:val="00F4150E"/>
    <w:rsid w:val="00F41610"/>
    <w:rsid w:val="00F41743"/>
    <w:rsid w:val="00F41A27"/>
    <w:rsid w:val="00F4268E"/>
    <w:rsid w:val="00F42714"/>
    <w:rsid w:val="00F42F75"/>
    <w:rsid w:val="00F433EF"/>
    <w:rsid w:val="00F43B70"/>
    <w:rsid w:val="00F44347"/>
    <w:rsid w:val="00F4435F"/>
    <w:rsid w:val="00F444D6"/>
    <w:rsid w:val="00F44803"/>
    <w:rsid w:val="00F44B47"/>
    <w:rsid w:val="00F44BB5"/>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3E3C"/>
    <w:rsid w:val="00F54652"/>
    <w:rsid w:val="00F548B0"/>
    <w:rsid w:val="00F549FF"/>
    <w:rsid w:val="00F54DC4"/>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DBB"/>
    <w:rsid w:val="00F75E8E"/>
    <w:rsid w:val="00F761CF"/>
    <w:rsid w:val="00F76A67"/>
    <w:rsid w:val="00F76B54"/>
    <w:rsid w:val="00F76B76"/>
    <w:rsid w:val="00F76CBB"/>
    <w:rsid w:val="00F7743B"/>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F1B"/>
    <w:rsid w:val="00F83FFA"/>
    <w:rsid w:val="00F841FB"/>
    <w:rsid w:val="00F8428E"/>
    <w:rsid w:val="00F845BC"/>
    <w:rsid w:val="00F84625"/>
    <w:rsid w:val="00F84949"/>
    <w:rsid w:val="00F84958"/>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30"/>
    <w:rsid w:val="00F9021B"/>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64"/>
    <w:rsid w:val="00FB3AB5"/>
    <w:rsid w:val="00FB3D50"/>
    <w:rsid w:val="00FB4051"/>
    <w:rsid w:val="00FB4664"/>
    <w:rsid w:val="00FB4B22"/>
    <w:rsid w:val="00FB5122"/>
    <w:rsid w:val="00FB526A"/>
    <w:rsid w:val="00FB52C5"/>
    <w:rsid w:val="00FB54F3"/>
    <w:rsid w:val="00FB5820"/>
    <w:rsid w:val="00FB65F0"/>
    <w:rsid w:val="00FB65FC"/>
    <w:rsid w:val="00FB6A3A"/>
    <w:rsid w:val="00FB6D8F"/>
    <w:rsid w:val="00FB6DD6"/>
    <w:rsid w:val="00FB6ED4"/>
    <w:rsid w:val="00FB71C7"/>
    <w:rsid w:val="00FB734C"/>
    <w:rsid w:val="00FB7435"/>
    <w:rsid w:val="00FB76C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970"/>
    <w:rsid w:val="00FD1BCF"/>
    <w:rsid w:val="00FD1C14"/>
    <w:rsid w:val="00FD203B"/>
    <w:rsid w:val="00FD2294"/>
    <w:rsid w:val="00FD32C8"/>
    <w:rsid w:val="00FD33E8"/>
    <w:rsid w:val="00FD3648"/>
    <w:rsid w:val="00FD37ED"/>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46F"/>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uiPriority w:val="9"/>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uiPriority w:val="9"/>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uiPriority w:val="9"/>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qFormat/>
    <w:rsid w:val="006160B3"/>
  </w:style>
  <w:style w:type="character" w:customStyle="1" w:styleId="BodyTextChar">
    <w:name w:val="Body Text Char"/>
    <w:basedOn w:val="DefaultParagraphFont"/>
    <w:link w:val="BodyText"/>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ind w:left="2120"/>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uiPriority w:val="9"/>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uiPriority w:val="9"/>
    <w:rsid w:val="00AB35BD"/>
    <w:rPr>
      <w:rFonts w:ascii="Neutro MYOB Light" w:hAnsi="Neutro MYOB Light"/>
      <w:bCs/>
      <w:sz w:val="28"/>
      <w:szCs w:val="28"/>
    </w:rPr>
  </w:style>
  <w:style w:type="character" w:customStyle="1" w:styleId="Heading3Char">
    <w:name w:val="Heading 3 Char"/>
    <w:basedOn w:val="DefaultParagraphFont"/>
    <w:link w:val="Heading3"/>
    <w:uiPriority w:val="9"/>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 w:type="paragraph" w:customStyle="1" w:styleId="Compact">
    <w:name w:val="Compact"/>
    <w:basedOn w:val="BodyText"/>
    <w:qFormat/>
    <w:rsid w:val="00490CF8"/>
    <w:pPr>
      <w:spacing w:before="36" w:after="36"/>
      <w:ind w:left="0"/>
    </w:pPr>
    <w:rPr>
      <w:rFonts w:ascii="Calibri" w:eastAsiaTheme="minorHAnsi" w:hAnsi="Calibri" w:cstheme="minorBidi"/>
      <w:sz w:val="24"/>
      <w:szCs w:val="24"/>
      <w:lang w:val="en-US" w:eastAsia="en-US"/>
    </w:rPr>
  </w:style>
  <w:style w:type="paragraph" w:customStyle="1" w:styleId="Figure">
    <w:name w:val="Figure"/>
    <w:basedOn w:val="Normal"/>
    <w:rsid w:val="00086F9F"/>
    <w:pPr>
      <w:spacing w:before="0" w:after="200"/>
      <w:ind w:left="0"/>
    </w:pPr>
    <w:rPr>
      <w:rFonts w:ascii="Calibri" w:eastAsiaTheme="minorHAnsi" w:hAnsi="Calibr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60958380">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hyperlink" Target="https://help.qlik.com/en-US/sense/September2018/Subsystems/Hub/Content/Sense_Hub/Visualizations/create-apps-visualizations.htm" TargetMode="External"/><Relationship Id="rId34"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qlik.com/us/products/qlik-sense" TargetMode="External"/><Relationship Id="rId29" Type="http://schemas.openxmlformats.org/officeDocument/2006/relationships/hyperlink" Target="https://help.myob.com.au/greentree/EducationCentre/help/gtdesktop/latest/desktop/System_Setup/System_Utilities/security_attributes.htm"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help.qlik.com/en-US/sense-developer/June2018/Subsystems/Extensions/Content/custom-themes-introduction.htm" TargetMode="External"/><Relationship Id="rId28" Type="http://schemas.openxmlformats.org/officeDocument/2006/relationships/hyperlink" Target="https://qliksupport.force.com/QS_CoveoSearch"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help.qlik.com/en-US/sense/September2018/Subsystems/Hub/Content/Sense_Hub/Introduction/desktop-starting.htm" TargetMode="External"/><Relationship Id="rId31" Type="http://schemas.openxmlformats.org/officeDocument/2006/relationships/image" Target="media/image8.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help.qlik.com/en-US/sense/September2018/Subsystems/Hub/Content/Sense_Hub/Sheets/create-sheets-for-structure.htm" TargetMode="External"/><Relationship Id="rId27" Type="http://schemas.openxmlformats.org/officeDocument/2006/relationships/hyperlink" Target="https://help.qlik.com/en-US/sense/September2018/Content/Sense_Helpsites/Home.htm"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eader" Target="header2.xm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qlik.com/us/products/qlik-sense" TargetMode="External"/><Relationship Id="rId25" Type="http://schemas.openxmlformats.org/officeDocument/2006/relationships/image" Target="media/image5.png"/><Relationship Id="rId33" Type="http://schemas.openxmlformats.org/officeDocument/2006/relationships/hyperlink" Target="https://www.ato.gov.au/forms/statement-by-a-supplier-not-quoting-an-abn/" TargetMode="External"/><Relationship Id="rId38" Type="http://schemas.openxmlformats.org/officeDocument/2006/relationships/image" Target="media/image14.png"/><Relationship Id="rId46" Type="http://schemas.openxmlformats.org/officeDocument/2006/relationships/footer" Target="footer4.xml"/><Relationship Id="rId20" Type="http://schemas.openxmlformats.org/officeDocument/2006/relationships/hyperlink" Target="https://help.myob.com.au/greentree/EducationCentre/help/gtdesktop/Greentree2018_2_0/desktop/Customer_Relationship_Management/Workflow/crmwforganisedesks.htm" TargetMode="External"/><Relationship Id="rId41" Type="http://schemas.openxmlformats.org/officeDocument/2006/relationships/hyperlink" Target="https://www.ato.gov.au/forms/payg-payment-summaries--forms-and-guidelines/?page=6"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6E63"/>
    <w:rsid w:val="000C5CCE"/>
    <w:rsid w:val="000E3BEE"/>
    <w:rsid w:val="00191653"/>
    <w:rsid w:val="002B4321"/>
    <w:rsid w:val="0034446E"/>
    <w:rsid w:val="003E6C1F"/>
    <w:rsid w:val="003F2CD8"/>
    <w:rsid w:val="004A45E8"/>
    <w:rsid w:val="00516367"/>
    <w:rsid w:val="0053427E"/>
    <w:rsid w:val="006505A3"/>
    <w:rsid w:val="006964BF"/>
    <w:rsid w:val="00837F97"/>
    <w:rsid w:val="009520C0"/>
    <w:rsid w:val="00977CA4"/>
    <w:rsid w:val="00A765CD"/>
    <w:rsid w:val="00CD75EF"/>
    <w:rsid w:val="00D4624D"/>
    <w:rsid w:val="00DD172C"/>
    <w:rsid w:val="00F36BA3"/>
    <w:rsid w:val="00F531BC"/>
    <w:rsid w:val="00F532C8"/>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C1F"/>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8FE1EB3F3EE44B4D5E37572649B8B" ma:contentTypeVersion="13" ma:contentTypeDescription="Create a new document." ma:contentTypeScope="" ma:versionID="13d6f0ecb8765acca90fe2efc884c553">
  <xsd:schema xmlns:xsd="http://www.w3.org/2001/XMLSchema" xmlns:xs="http://www.w3.org/2001/XMLSchema" xmlns:p="http://schemas.microsoft.com/office/2006/metadata/properties" xmlns:ns3="480b2aba-1c7b-484f-9c2d-6acf5cf5a8d5" xmlns:ns4="8189c877-9ee4-4bea-8299-a702646c93c2" targetNamespace="http://schemas.microsoft.com/office/2006/metadata/properties" ma:root="true" ma:fieldsID="7699014b013c55e374dafe43c0c2baa7" ns3:_="" ns4:_="">
    <xsd:import namespace="480b2aba-1c7b-484f-9c2d-6acf5cf5a8d5"/>
    <xsd:import namespace="8189c877-9ee4-4bea-8299-a702646c9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b2aba-1c7b-484f-9c2d-6acf5cf5a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9c877-9ee4-4bea-8299-a702646c93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8BC03-3212-4DFD-9333-45E600522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b2aba-1c7b-484f-9c2d-6acf5cf5a8d5"/>
    <ds:schemaRef ds:uri="8189c877-9ee4-4bea-8299-a702646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4.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40514AE-A971-4BE3-9CFA-3FCEA618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20</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Scott Nesbitt</dc:creator>
  <cp:keywords/>
  <dc:description>2020.3.0</dc:description>
  <cp:lastModifiedBy>Bronwyn Scurr</cp:lastModifiedBy>
  <cp:revision>2</cp:revision>
  <cp:lastPrinted>2020-07-12T23:33:00Z</cp:lastPrinted>
  <dcterms:created xsi:type="dcterms:W3CDTF">2020-07-21T02:03:00Z</dcterms:created>
  <dcterms:modified xsi:type="dcterms:W3CDTF">2020-07-21T02:03:00Z</dcterms:modified>
  <cp:category/>
  <cp:contentStatus>2018.3.0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0x010100FCB8FE1EB3F3EE44B4D5E37572649B8B</vt:lpwstr>
  </property>
</Properties>
</file>